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SB220565 vom 28. Juni 2023</w:t>
      </w:r>
    </w:p>
    <w:p>
      <w:r>
        <w:t>ZH Obergericht, 2023-06-28, DE</w:t>
      </w:r>
    </w:p>
    <w:p>
      <w:r>
        <w:rPr>
          <w:b/>
        </w:rPr>
        <w:t xml:space="preserve">Quelle: </w:t>
      </w:r>
      <w:r>
        <w:t>https://mcp.opencaselaw.ch/entscheid/zh_obergericht_SB220565</w:t>
      </w:r>
    </w:p>
    <w:p>
      <w:r>
        <w:t>FR: ZH_OBERGERICHT SB220565 du 28 juin 2023</w:t>
      </w:r>
    </w:p>
    <w:p>
      <w:r>
        <w:t>IT: ZH_OBERGERICHT SB220565 del 28 giugno 2023</w:t>
      </w:r>
    </w:p>
    <w:p>
      <w:pPr>
        <w:pStyle w:val="Heading2"/>
      </w:pPr>
      <w:r>
        <w:t>Erwägungen</w:t>
      </w:r>
    </w:p>
    <w:p>
      <w:r>
        <w:rPr>
          <w:b/>
        </w:rPr>
        <w:t>E. 1</w:t>
      </w:r>
    </w:p>
    <w:p>
      <w:r>
        <w:t>Mit Urteil des Bezirksgerichtes Zürich, 7. Abteilung, vom 15. Juli 2022 wur- de der Beschuldigte des Raufhandels im Sinne von Art. 133 StGB schuldig ge- sprochen, während vom weiteren Vorwurf der versuchten schweren Körperverlet- zung im Sinne von Art. 122 StGB i.V.m. Art. 22 Abs. 1 StGB ein Freispruch erfolg- te. Der Beschuldigte wurde mit einer bedingten Geldstrafe von 130 Tagessätzen zu Fr. 10.– bei einer Probezeit von 3 Jahren bestraft, wovon 55 Tagessätze als durch Haft geleistet in Anrechnung gebracht wurden. Von der Anordnung einer Landesverweisung sowie der Abnahme einer DNA-Probe wurde abgesehen und der Privatkläger mit seinen Schadenersatz- und Genugtuungsbegehren auf den Zivilweg verwiesen. Ferner wurde über die beschlagnahmten Gegenstände be- funden und wurden die Kosten- und Entschädigungsfolgen geregelt (Urk. 85 bzw. 88 S. 40 ff.).</w:t>
      </w:r>
    </w:p>
    <w:p>
      <w:r>
        <w:rPr>
          <w:b/>
        </w:rPr>
        <w:t>E. 2</w:t>
      </w:r>
    </w:p>
    <w:p>
      <w:r>
        <w:t>Gegen diesen Entscheid haben sämtliche Parteien rechtzeitig die Berufung angemeldet (Urk. 75, 76 + 79). Während der Beschuldigte und der Privatkläger in der Folge mit Eingaben vom 3. bzw. 4. November 2022 ihre Berufungserklärun- gen einreichten (Urk. 90 + 91), zog die Staatsanwaltschaft ihre selbständige Beru- fung mit Schreiben vom 10. November 2022 zurück (Urk. 93), was mit Beschluss vorzumerken ist, und verzichtete im Nachgang auch auf eine Anschlussberufung, wobei ihr gleichzeitig gestelltes Dispensationsgesuch bewilligt wurde (Urk. 96). Anschliessend wurde auf den 28. Juni 2023 zur Berufungsverhandlung vorgela- den (Urk. 99), zu welcher der Beschuldigte in Begleitung seiner amtlichen Vertei- digung sowie die unentgeltliche Vertretung des Privatklägers erschienen sind (vgl. Prot. II S. 4).</w:t>
      </w:r>
    </w:p>
    <w:p>
      <w:r>
        <w:rPr>
          <w:b/>
        </w:rPr>
        <w:t>E. 2.1</w:t>
      </w:r>
    </w:p>
    <w:p>
      <w:r>
        <w:t>Die Gerichtsgebühr für den vorliegenden Berufungsprozess ist in Anwen- dung von Art. 424 Abs. 1 StPO in Verbindung mit § 16 Abs. 1 und § 14 Abs. 1 lit. a GebV OG auf den Betrag von Fr. 3'500.– festzusetzen.</w:t>
      </w:r>
    </w:p>
    <w:p>
      <w:r>
        <w:rPr>
          <w:b/>
        </w:rPr>
        <w:t>E. 2.2</w:t>
      </w:r>
    </w:p>
    <w:p>
      <w:r>
        <w:t>In casu sind weder der Beschuldigte noch die Privatklägerschaft mit ihrer Berufung durchgedrungen. Vielmehr ist das vorinstanzliche Urteil in sämtlichen Punkten zu bestätigen. Nachdem beide Parteien den Entscheid aus ihrer Warte nahezu umfassend angefochten haben, sind ihnen die Kosten des Berufungsver- fahrens, ausgenommen jene der amtlichen Verteidigung und der unentgeltlichen Privatklägervertretung, mithin ausgangsgemäss je zur Hälfte aufzuerlegen. Zufol- ge gewährter unentgeltlicher Rechtspflege ist der Kostenanteil des Privatklägers indessen unter Vorbehalt der Rückzahlungspflicht bei verbesserten wirtschaftli- chen Verhältnissen auf die Gerichtskasse zu nehmen (Art. 135 Abs. 4 StPO i.V.m. Art. 138 Abs. 1 StPO). Die Staatsanwaltschaft hat derweil ihre Berufung noch vor Erstattung einer Berufungserklärung zurückzogen, so dass den Staat für das Berufungsstadium keine Kostenfolgen treffen.</w:t>
      </w:r>
    </w:p>
    <w:p>
      <w:r>
        <w:rPr>
          <w:b/>
        </w:rPr>
        <w:t>E. 2.3</w:t>
      </w:r>
    </w:p>
    <w:p>
      <w:r>
        <w:t>Die Vertretungen der beiden Berufungsparteien machen für ihre jeweiligen Bemühungen und Barauslagen im Berufungsverfahren gestützt auf ihre einge- reichten Honorarnoten die Beträge von Fr. 11'358.35 (Urk. 113) bzw. Fr. 4'707.25 (Urk. 115) geltend. Die dokumentierten Aufwendungen sind ausgewiesen und das jeweils beanspruchte Honorar steht auch grundsätzlich im Einklang mit den Ansätzen der in diesem Zusammenhang geltenden kantonalen An- waltsgebührenverordnung mit einem massgebenden Stundenansatz von Fr. 220.–. Unter Berücksichtigung des tatsächlich angefallenen Aufwandes für die Berufungsverhandlung (inkl. Weg und Nachbesprechung mit dem Klienten), welcher bei der Verteidigung um 2.5 Stunden zu hoch und bei der Privatklägervertretung um 1 Stunde zu tief veranschlagt wurde, erscheint es mithin angemessen, die amtliche Verteidigung mit pauschal Fr. 10'000.– (inkl. MwSt) und die unentgeltliche Privatklägervertretung mit pauschal Fr. 5'200.– (inkl. MwSt) aus der Gerichtskasse zu entschädigen, wobei beim geltend gemachten Gesamtaufwand der Verteidigung auch zu beachten ist, dass sich die hohen</w:t>
      </w:r>
    </w:p>
    <w:p>
      <w:r>
        <w:t>- 32 - Kopierkosten für die Beizugsakten (im Umfang von Fr. 849.50) nicht rechtfertigen, da bereits vor der Kopierung dieser Akten eine grobe Triage mit der Fragestellung vorzunehmen gewesen wäre, welche diesbezüglichen Dokumente notwendigerweise in den vorliegenden Fall einzubeziehen und demzufolge vor der Verhandlung zu vervielfältigen sind.</w:t>
      </w:r>
    </w:p>
    <w:p>
      <w:r>
        <w:rPr>
          <w:b/>
        </w:rPr>
        <w:t>E. 2.4</w:t>
      </w:r>
    </w:p>
    <w:p>
      <w:r>
        <w:t>Die Kosten der amtlichen Verteidigung und der unentgeltlichen Privatklä- gervertretung sind ebenfalls auf die Gerichtskasse zu nehmen, wobei hinsichtlich der Kosten der amtlichen Verteidigung die hälftige Rückzahlungspflicht des Be- schuldigten gestützt auf Art. 135 Abs. 4 StPO vorzubehalten ist, während die an- dere Hälfte dieser Kosten nicht zu Lasten des Privatklägers gehen darf (vgl. vor- stehend Ziffer 2. i.f.). Mit Bezug auf die Kosten der unentgeltlichen Privatkläger- vertretung ist die Rückzahlungspflicht hingegen gestützt auf Art. 135 Abs. 4 StPO zur einen Hälfte zu Lasten des Beschuldigten und zur anderen Hälfte gestützt auf Art. 135 Abs. 4 StPO i.V.m. Art. 138 Abs. 1 StPO zu Lasten des Privatklägers vorzubehalten.</w:t>
      </w:r>
    </w:p>
    <w:p>
      <w:r>
        <w:t>- 33 - Es wird beschlossen:</w:t>
      </w:r>
    </w:p>
    <w:p>
      <w:r>
        <w:rPr>
          <w:b/>
        </w:rPr>
        <w:t>E. 3</w:t>
      </w:r>
    </w:p>
    <w:p>
      <w:r>
        <w:t>Der Beschuldigte hat in der Berufungsverhandlung keine neuen Beweisanträge gestellt (vgl. Prot. II S. 9). Demgegenüber unterbreitete die Privat- klägerschaft im Rahmen ihres zweitinstanzlichen Parteivortrages die Anträge, es seien D._____, E._____ und F._____ als Zeugen zu befragen und zur Täteridenti- fikation mit einem Fotowahlbogen der Beteiligten zu konfrontieren (Urk. 114 S. 2), wozu die Verteidigung anlässlich der Verhandlung Stellung genommen und die Abweisung der Anträge infolge von deren Verspätung sowie der (zu) langen Zeit- dauer seit der Tat gefordert hat (vgl. Prot. II S. 6 + S. 10 f.). Dazu ist vorab festzu- halten, dass die Wiederholung und Ergänzung von Beweisabnahmen gestützt auf Art. 389 Abs. 2 und 3 StPO in begründeten Fällen auch im Berufungsverfahren angezeigt sein kann, weshalb es sich nicht rechtfertigt, diese mit dem blossen Ar- gument der Verspätung abzuweisen, selbst wenn die Anträge erst anlässlich der Berufungsverhandlung gestellt worden sind (vgl. EUGSTER, BSK StPO, 2. Aufl., N</w:t>
      </w:r>
    </w:p>
    <w:p>
      <w:r>
        <w:rPr>
          <w:b/>
        </w:rPr>
        <w:t>E. 5</w:t>
      </w:r>
    </w:p>
    <w:p>
      <w:r>
        <w:t>Wohlwollend ist sodann auch der dem Beschuldigten abermals gewährte bedingte Vollzug der Geldstrafe mit nur leicht erhöhter Probezeit, zumal dieser – wie bereits erwähnt – einschlägig vorbestraft ist und die Vorstrafe im Tatzeitpunkt noch nicht allzu lange zurücklag (vgl. Urk. 110). Allerdings ist auch diesbezüglich eine Verschlechterung des Entscheides aufgrund von Art. 391 Abs. 2 StPO von vornherein nicht möglich, so dass es beim vorinstanzlichen Verdikt bleibt, ohne dass die entsprechenden Voraussetzungen des bedingten Strafvollzuges noch- mals im Einzelnen einer Prüfung zu unterziehen wären. V. Zivilbegehren 1. Hinsichtlich der vom Privatkläger geltend gemachten Schadenersatz- und Genugtuungsansprüche führte die Vorinstanz im angefochtenen Entscheid zu Recht an, die entsprechenden Forderungen stützten sich einzig auf den einge- klagten Fusskick des Beschuldigten gegenüber dem Privatkläger (vgl. Urk. 88 S. 38). Nur ein solcher Kick oder entsprechend starke (Faust-)Schläge des Beschul- digten vermöchten denn auch als genügend klar zuordenbare Handlungen für das diagnostizierte Schädel-/Hirntrauma und die in diesem Zusammenhang stehen- den gesundheitlichen Beeinträchtigungen des Privatklägers zu gelten, zumal kei- ne Mittäterschaft eingeklagt ist, welche ihn auch für entsprechende Handlungen eines Dritten haftbar machen könnte. Nachdem aber solche Einwirkungen des Beschuldigten im vorliegenden Strafurteil nicht erstellt werden können, fehlt es in casu an der notwendigen Anspruchsgrundlage für die Zusprechung von delikts- rechtlichem Ausgleich von materiellem Schaden und immaterieller Unbill. 2. Nicht ausgeschlossen ist indessen, dass sich der Privatkläger in einem entsprechenden Zivilprozess aufgrund anderer rechtlichen Grundlagen für die ihm im Rahmen des Raufhandels zugefügten Verletzungen auch gegenüber dem Be- schuldigten (zumindest teilweise) schadlos halten kann. In einem solchen Prozess wäre dann auch dem Kausalzusammenhang zwischen den behaupteten schädi- genden Handlungen und den vom Privatkläger erlittenen Verletzungen näher nachzugehen. Die definitive Abweisung der adhäsionsweise geltend gemachten</w:t>
      </w:r>
    </w:p>
    <w:p>
      <w:r>
        <w:t>- 30 - Zivilforderungen des Beschuldigten mit der entsprechenden Sperrwirkung für die Anstrengung eines dahingehenden Zivilprozesses erweist sich bei dieser Aus- gangslage mithin nicht als statthaft, weshalb das vorinstanzliche Urteil auch in diesem Punkt zu bestätigen und die Schadenersatz- und Genugtuungsbegehren des Privatklägers auf den ordentlichen Zivilweg zu verweisen sind. VI. Kosten- und Entschädigungsfolgen 1. Die erstinstanzliche Kostenregelung gemäss den Dispositiv-Ziffern 14 - 16 ist unter Verweis auf die Erwägungen der Vorinstanz (vgl. Urk. 88 S. 39) vollum- fänglich zu bestätigen, da aufgrund des engen Zusammenhanges der beiden zur Beurteilung stehenden Delikte der Teilfreispruch in der Tat keine Untersuchungs- handlungen zur Folge hatte, welche sich im Nachhinein als unnötig erweisen, während im nachfolgenden erstinstanzlichen Verfahren die Prüfung des schwere- ren und komplexer zu eruierenden Delikts den Grossteil der Ressourcen des Ge- richts in Anspruch nahm, deren Entstehung dem in diesem Punkt freigesproche- nen Beschuldigten nicht verrechnet werden kann. 2. Die Kosten des Berufungsverfahrens sind den Parteien nach Massgabe ihres Obsiegens und Unterliegens aufzuerlegen (Art. 428 Abs. 1 StPO). Auch eine im Berufungsverfahren unterliegende Privatklägerschaft kann demnach (ev. antei- lig, vgl. Art. 418 Abs. 1 StPO) zur Kostentragung verpflichtet werden, was auch Opfer im Sinne des Opferhilfegesetzes betrifft, zumindest soweit sich diese gegen einen erstinstanzlichen Freispruch wenden (vgl. BGE 143 IV 154, E. 2.3.5.). Wur- de der Privatklägerschaft die unentgeltliche Rechtspflege gewährt, sind die sie treffenden Kosten indessen auf die Gerichtskasse zu nehmen, wobei in analoger Anwendung von Art. 135 Abs. 4 lit. a StPO die Rückzahlung dieser Kosten vorbe- halten werden kann (Urteil 6B_370/2016 vom 16. März 2017, E. 1.2.; BGE 141 IV 262, E. 2.2.). Zu beachten ist dabei allerdings, dass hinsichtlich der Kosten der amtlichen Verteidigung mangels Rechtsgrundlage keine Rückzahlungspflicht der Privatklägerschaft besteht (BGE 145 IV 90 = Pra 108 (2019) Nr. 114).</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