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SB220557 vom 11. Mai 2023</w:t>
      </w:r>
    </w:p>
    <w:p>
      <w:r>
        <w:t>ZH Obergericht, 2023-05-11, DE</w:t>
      </w:r>
    </w:p>
    <w:p>
      <w:r>
        <w:rPr>
          <w:b/>
        </w:rPr>
        <w:t xml:space="preserve">Quelle: </w:t>
      </w:r>
      <w:r>
        <w:t>https://mcp.opencaselaw.ch/entscheid/zh_obergericht_SB220557</w:t>
      </w:r>
    </w:p>
    <w:p>
      <w:r>
        <w:t>FR: ZH_OBERGERICHT SB220557 du 11 mai 2023</w:t>
      </w:r>
    </w:p>
    <w:p>
      <w:r>
        <w:t>IT: ZH_OBERGERICHT SB220557 del 11 maggio 2023</w:t>
      </w:r>
    </w:p>
    <w:p>
      <w:pPr>
        <w:pStyle w:val="Heading2"/>
      </w:pPr>
      <w:r>
        <w:t>Erwägungen</w:t>
      </w:r>
    </w:p>
    <w:p>
      <w:r>
        <w:rPr>
          <w:b/>
        </w:rPr>
        <w:t>E. 1</w:t>
      </w:r>
    </w:p>
    <w:p>
      <w:r>
        <w:t>Prozessgeschichte</w:t>
      </w:r>
    </w:p>
    <w:p>
      <w:r>
        <w:rPr>
          <w:b/>
        </w:rPr>
        <w:t>E. 1.1</w:t>
      </w:r>
    </w:p>
    <w:p>
      <w:r>
        <w:t>Die Vorinstanz bestraft den Beschuldigten mit einer Geldstrafe von 60 Tagessätzen zu Fr. 80.– (Urk. 54 S. 125). Die Verteidigung beantragt, der Beschuldigte sei von Schuld und Strafe freizusprechen (Urk. 55 S. 2). Die Staats- anwaltschaft beantragt die Bestätigung des vorinstanzlichen Entscheids (Urk. 68).</w:t>
      </w:r>
    </w:p>
    <w:p>
      <w:r>
        <w:rPr>
          <w:b/>
        </w:rPr>
        <w:t>E. 1.2</w:t>
      </w:r>
    </w:p>
    <w:p>
      <w:r>
        <w:t>Das Bundesgericht hat die Grundsätze der Strafzumessung nach Art. 47 ff. StGB und die an sie gestellten Begründungsanforderungen wiederholt dargelegt (BGE 136 IV 55 E. 5.4 ff. S. 59 ff. mit Hinweisen). Darauf sowie auf die zutreffen- den vorinstanzlichen Erwägungen (Urk. 54 S. 106 ff.) kann verwiesen werden. 2. Wahl Sanktionsart/Strafrahmen</w:t>
      </w:r>
    </w:p>
    <w:p>
      <w:r>
        <w:rPr>
          <w:b/>
        </w:rPr>
        <w:t>E. 1.3</w:t>
      </w:r>
    </w:p>
    <w:p>
      <w:r>
        <w:t>Am 16. Dezember 2022 widerrief die Verfahrensleitung das Mandat von Rechtsanwalt lic. iur. Y._____ als amtlicher Verteidiger (Urk. 72). In der Folge teil- te Rechtsanwalt lic. iur. Y._____ mit, den Beschuldigten erbeten zu verteidigen (Urk. 74).</w:t>
      </w:r>
    </w:p>
    <w:p>
      <w:r>
        <w:t>- 7 -</w:t>
      </w:r>
    </w:p>
    <w:p>
      <w:r>
        <w:rPr>
          <w:b/>
        </w:rPr>
        <w:t>E. 1.4</w:t>
      </w:r>
    </w:p>
    <w:p>
      <w:r>
        <w:t>Am 9. Februar 2023 wurde auf den 11. Mai 2023 zur Berufungsverhand- lung vorgeladen (Urk. 77).</w:t>
      </w:r>
    </w:p>
    <w:p>
      <w:r>
        <w:rPr>
          <w:b/>
        </w:rPr>
        <w:t>E. 1.5</w:t>
      </w:r>
    </w:p>
    <w:p>
      <w:r>
        <w:t>Die Berufungsverhandlung fand am 11. Mai 2023 statt. Es erschien der Beschuldigte in Begleitung seines erbetenen Verteidigers (Prot. II S. 8). Vorfragen waren keine zu entscheiden (Prot. II S. 8).</w:t>
      </w:r>
    </w:p>
    <w:p>
      <w:r>
        <w:rPr>
          <w:b/>
        </w:rPr>
        <w:t>E. 1.6</w:t>
      </w:r>
    </w:p>
    <w:p>
      <w:r>
        <w:t>Nach den Parteivorträgen und dem Schlusswort des Beschuldigten ver- zichteten die Parteien auf eine mündliche Urteilseröffnung und -erläuterung (Art. 84 Abs. 3 StPO; Prot. II S 14). Die geheime Beratung fand gleichentags statt, das Urteil wurde ebenfalls am 11. Mai 2023 gefällt (Prot. II S. 15 ff.; Urk. 83) und am 12. Mai 2023 den Parteien schriftlich im Dispositiv eröffnet (Urk. 84).</w:t>
      </w:r>
    </w:p>
    <w:p>
      <w:r>
        <w:rPr>
          <w:b/>
        </w:rPr>
        <w:t>E. 2</w:t>
      </w:r>
    </w:p>
    <w:p>
      <w:r>
        <w:t>Vorfall vom 12. Oktober 2019 (versuchte Nötigung, Anklageschrift Ziffer III.)</w:t>
      </w:r>
    </w:p>
    <w:p>
      <w:r>
        <w:rPr>
          <w:b/>
        </w:rPr>
        <w:t>E. 2.1</w:t>
      </w:r>
    </w:p>
    <w:p>
      <w:r>
        <w:t>Die Verfahrenskosten sind auf Fr. 2'500.–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(THOMAS DOMEISEN, in: Basler Kommentar, Schweizerische Strafprozessordnung, Bd. II, 2. Aufl. 2014, N. 6 zu Art. 428 StPO).</w:t>
      </w:r>
    </w:p>
    <w:p>
      <w:r>
        <w:rPr>
          <w:b/>
        </w:rPr>
        <w:t>E. 2.2</w:t>
      </w:r>
    </w:p>
    <w:p>
      <w:r>
        <w:t>Der Beschuldigte strebte mit seiner Berufung einen Freispruch an. Er unterliegt mit seinen Anträgen mit Ausnahme der Entschädigung der wirt- schaftlichen Einbussen (vgl. nachfolgend). Die Staatsanwaltschaft beantragt die Bestätigung des erstinstanzlichen Entscheids und unterliegt in Bezug auf die erwähnte Entschädigung. Ausgangsgemäss rechtfertigt es sich, dem Be- schuldigten die Kosten des Berufungsverfahrens zu vier Fünfteln aufzuerlegen und zu einem Fünftel auf die Gerichtskasse zu nehmen (Art. 428 Abs. 1 StPO). Die Kosten der früheren amtlichen Verteidigung für das Berufungsverfahren sind auf die Gerichtskasse zu nehmen. Eine allfällige Rückerstattungspflicht im Umfang von vier Fünfteln bleibt vorbehalten (Art. 135 Abs. 4 StPO).</w:t>
      </w:r>
    </w:p>
    <w:p>
      <w:r>
        <w:t>- 20 -</w:t>
      </w:r>
    </w:p>
    <w:p>
      <w:r>
        <w:rPr>
          <w:b/>
        </w:rPr>
        <w:t>E. 2.3</w:t>
      </w:r>
    </w:p>
    <w:p>
      <w:r>
        <w:t>Die anklagerelevanten Nachrichten wurden im Rahmen einer Datensiche- rung des Mobiltelefons Apple iPhone XS Max der Privatklägerin zutage gefördert. Sie sind Teil einer (über die Applikation "Viber" geführten) Kommunikation zwi- schen zwei Telefonnummern, die dem Beschuldigten respektive der Privatklägerin zugeordnet werden können. Diverse Nachrichten, welche vom Beschuldigten ver- schickt wurden, wurden von diesem nachträglich gelöscht (vgl. Urk. 6/2/3; Urk. 6/2/4). Dass der Beschuldigte der Privatklägerin am 12. Oktober 2019 die hier relevanten (auf Deutsch übersetzten) Sprachnachrichten schickte, ist mithin erstellt (Urk. 6/2/10). Dies wird vom Beschuldigten denn auch eingestanden (Urk. 30 S. 20; Urk. 80 S. 5).</w:t>
      </w:r>
    </w:p>
    <w:p>
      <w:r>
        <w:rPr>
          <w:b/>
        </w:rPr>
        <w:t>E. 2.3.1</w:t>
      </w:r>
    </w:p>
    <w:p>
      <w:r>
        <w:t>Wird die beschuldigte Person ganz oder teilweise freigesprochen, so hat sie gemäss Art. 436 Abs. 1 StPO in Verbindung mit Art. 429 Abs. 1 StPO Anspruch auf Entschädigung ihrer Aufwendungen für die angemessene Ausübung ihrer Ver- fahrensrechte (lit. a), Entschädigung der wirtschaftlichen Einbussen, die ihr aus ihrer notwendigen Beteiligung am Strafverfahren entstanden sind (lit. b), sowie Genugtuung für besonders schwere Verletzungen ihrer persönlichen Verhältnisse, insbesondere bei Freiheitsentzug (lit. c). Die Strafbehörde prüft den Anspruch von Amtes wegen. Sie kann die beschuldigte Person auffordern, ihre Ansprüche zu beziffern und zu belegen, Art. 429 Abs. 2 StPO. Die Beweislast obliegt der be- schuldigten Person. Diese trifft nach Art. 42 Abs. 1 OR in Verbindung mit Art. 8 ZGB eine Mitwirkungspflicht zum Beleg und zur Bemessung der Höhe des Ent- schädigungsanspruchs (WEHRENBERG/FRANK, in: Basler Kommentar, Schweizeri- sche Strafprozessordnung, Bd. II, 2. Aufl. 2014, N. 31a zu Art. 429 StPO). Die Festlegung der Genugtuungssumme nach Art. 429 ff. StPO beruht auf richter- lichem Ermessen (BGE 143 IV 339 E. 3.1 S. 342 f.; Urteil 6B_984/2018 vom 4. April 2019 E. 5.1). Bei der Ausübung des Ermessens kommt den Besonderheiten des Einzelfalles entscheidendes Gewicht zu. Nach der Rechtsprechung ist zu- nächst die Grössenordnung der in Frage kommenden Genugtuung zu ermitteln, wobei Art und Schwere der Verletzung massgebend sind. In einem zweiten Schritt sind die Besonderheiten des Einzelfalles zu würdigen, die eine Verminderung o- der Erhöhung der zuzusprechenden Summe nahelegen. Das Bundesgericht er- achtet bei kürzeren Freiheitsentzügen Fr. 200.-- pro Tag als angemessene Ge- nugtuung, sofern nicht aussergewöhnliche Umstände vorliegen, die eine höhere oder eine geringere Entschädigung rechtfertigen. Bei längerer Untersuchungshaft (von mehreren Monaten Dauer) ist der Tagessatz in der Regel zu senken, da die erste Haftzeit besonders erschwerend ins Gewicht fällt (BGE 143 IV 339 E. 3.1 S. 342; 113 Ib 155 E. 3b S. 156; Urteile 6B_984/2018 vom 4. April 2019 E. 5.1; 6B_196/2014 vom 5. Juni 2014 E. 1.2; je mit Hinweisen).</w:t>
      </w:r>
    </w:p>
    <w:p>
      <w:r>
        <w:rPr>
          <w:b/>
        </w:rPr>
        <w:t>E. 2.3.2</w:t>
      </w:r>
    </w:p>
    <w:p>
      <w:r>
        <w:t>Die vom Beschuldigten ausgestandene Haft von 38 Tagen ist an die Geld- strafe anzurechnen (E. IV.5.2). Damit erfolgt der Ausgleich der Haft als Realersatz</w:t>
      </w:r>
    </w:p>
    <w:p>
      <w:r>
        <w:t>- 21 - und die Frage der finanziellen Entschädigung stellt sich nicht (BGE 141 IV 236 E. 3.3 S. 239). Wie bereits ausgeführt, ist für die Anrechnung der Haft weder Tat- noch Verfahrensidentität erforderlich. Das Bundesgericht hielt fest, es sei für die Anrechnung lediglich erforderlich, dass eines von mehreren Strafverfahren zu ei- ner Verurteilung führe. Unerheblich sei, dass die Untersuchungshaft in einem Ver- fahren angeordnet worden sei, welches zu einem Freispruch geführt habe (Urteil 6B_346/2009 vom 16. Juni 2009 E. 1.5). Entsprechendes gilt im vorliegenden Fall, in dem die Untersuchungshaft aufgrund des Vorwurfs der Vergewaltigung angeordnet und der Beschuldigte diesbezüglich (aber nicht vollständig) freige- sprochen wurde. Die Genugtuungsforderung des Beschuldigten ist abzuweisen.</w:t>
      </w:r>
    </w:p>
    <w:p>
      <w:r>
        <w:rPr>
          <w:b/>
        </w:rPr>
        <w:t>E. 2.3.3.1</w:t>
      </w:r>
    </w:p>
    <w:p>
      <w:r>
        <w:t>Der Beschuldigte beantragt im Zusammenhang mit der ungerechtfertig- ten Haft eine Entschädigung wegen Lohnausfalls. Die Stelle bei der H._____ AG als Hilfskoch sei als Folge der Haft auf den 31. März 2021 gekündigt worden. Auf den 1. Dezember 2021 sei er wieder in gleicher Position angestellt worden. Die Lohneinbusse habe im Januar 2021 Fr. 2'929.40, im Februar 2021 Fr. 2'351.20, ab April 2021 bis November 2021 (unter Berücksichtigung der Zahlungen aus der Arbeitslosenkasse) Fr. 11'506.40 und insgesamt Fr. 16'787.– betragen. Die Lohn- erhöhung per 1. Dezember 2021 habe unberücksichtigt zu bleiben, da diese un- abhängig von der vorgängigen Kündigung gewährt worden wäre (Urk. 81 S. 6 ff.).</w:t>
      </w:r>
    </w:p>
    <w:p>
      <w:r>
        <w:rPr>
          <w:b/>
        </w:rPr>
        <w:t>E. 2.3.3.2</w:t>
      </w:r>
    </w:p>
    <w:p>
      <w:r>
        <w:t>Die Vorinstanz erwägt, die frühere Berechnung der Verteidigung sei in verschiedener Hinsicht fraglich und kaum belegt. Die Verteidigung habe eine Ar- beitslosenentschädigung von monatlich Fr. 2'528.– netto respektive Fr. 3'083.– brutto berechnet, wobei die ausbezahlte Arbeitslosenentschädigung effektiv höher gewesen sein dürfte. Nicht belegt sei zudem, ob und inwiefern dem Beschuldigten für Januar respektive Februar 2021 ein Lohnanspruch zugestanden habe. Schliesslich habe der Beschuldigte durch die Neuanstellung auch eine Lohnerhö- hung erhalten. Die effektive Lohneinbusse sei insgesamt nicht belegt, weshalb keine Entschädigung zuzusprechen sei (Urk. 54 S. 121 ff.).</w:t>
      </w:r>
    </w:p>
    <w:p>
      <w:r>
        <w:t>- 22 -</w:t>
      </w:r>
    </w:p>
    <w:p>
      <w:r>
        <w:rPr>
          <w:b/>
        </w:rPr>
        <w:t>E. 2.3.3.3</w:t>
      </w:r>
    </w:p>
    <w:p>
      <w:r>
        <w:t>Ein durch den Verlust einer Arbeitsstelle entstandener Schaden ist ge- stützt auf Art. 429 Abs. 1 lit. b StPO grundsätzlich zu entschädigen, sofern dieser mit dem Strafverfahren in einem adäquaten Kausalzusammenhang steht (BGE 142 IV 237 E. 1.3.4 S. 143; Urteil 6B_4/2019 vom 19. Dezember 2019 E. 5.2.3; je mit Hinweisen). Die vom Beschuldigten behauptete Lohneinbusse von Fr. 2'929.40 (Januar 2021; 20 Hafttage) und Fr. 2'351.20 (Februar 2021; 17 Haft- tage) ist nachvollziehbar begründet und mit Blick auf die Lohnabrechnungen von Januar 2021 und Februar 2021 plausibel (vgl. Urk. 57/6; Urk. 57/7). Der Beschul- digte belegt weiter, dass das Arbeitsverhältnis aufgrund der Haft aufgelöst wurde und die Auflösung entgegen der Ankündigung seines Arbeitgebers erst per Ende März 2021 erfolgte (vgl. Urk. 57/3 und Urk. 57/4). Ab April 2021 bis November 2021 erhielt der Beschuldigte Arbeitslosenentschädigung. Diese belief sich in Ab- weichung von den Ausführungen des Beschuldigten auf insgesamt Fr. 23'160.40 (vgl. Urk. 57/8). Daraus ergibt sich gegenüber dem vertraglichen Lohn (acht Mo- nate zu Fr. 4'333.30; Urk. 57/10) eine Lohneinbusse von Fr. 11'506.40 (8 X Fr. 4'333.30 ./. Fr. 23'160.40). Insgesamt erlitt der Beschuldigte durch die unge- rechtfertigte Haft eine Lohneinbusse von Fr. 16'787.– (Fr. 2'929.40 + Fr. 2'351.20 + Fr. 11'506.40). Schliesslich ist mit dem Beschuldigten davon auszugehen, dass die im Rahmen der Neuanstellung gewährte Lohnerhöhung unabhängig von der vorgängigen Kündigung erfolgte. Gegenteiliges ist weder belegt noch plausibel. Mithin führt der Beschuldigte nachvollziehbar aus, dass die Lohnerhöhung bei der Festsetzung der Entschädigung auszuklammern ist und eine solche bereits ab dem zweiten Dienstjahr gewährt wurde (vgl. betreffend eine weitere Lohnerhö- hung im Jahre 2022 Urk. 67/2).</w:t>
      </w:r>
    </w:p>
    <w:p>
      <w:r>
        <w:rPr>
          <w:b/>
        </w:rPr>
        <w:t>E. 2.3.3.4</w:t>
      </w:r>
    </w:p>
    <w:p>
      <w:r>
        <w:t>Dem Beschuldigten ist aufgrund der wirtschaftlichen Einbussen eine Entschädigung von Fr. 16'787.– zuzusprechen inklusive 5 % Zins ab 22. Juni 2021 (mittlerer Verfall). Im Mehrbetrag ist der Entschädigungsanspruch abzuwei- sen.</w:t>
      </w:r>
    </w:p>
    <w:p>
      <w:r>
        <w:rPr>
          <w:b/>
        </w:rPr>
        <w:t>E. 2.3.4</w:t>
      </w:r>
    </w:p>
    <w:p>
      <w:r>
        <w:t>Die Verteidigung macht für die Zeit nach Entzug des amtlichen Mandats Aufwände im Umfang von ca. 12 Stunden geltend (Prot. II S. 14). Der angemes- sene Vorbereitungsaufwand ist angesichts des Umstandes, dass bereits im Rah-</w:t>
      </w:r>
    </w:p>
    <w:p>
      <w:r>
        <w:t>- 23 - men des amtlichen Mandats gewisse Vorbereitungsarbeiten gleistet wurden, auf</w:t>
      </w:r>
    </w:p>
    <w:p>
      <w:r>
        <w:rPr>
          <w:b/>
        </w:rPr>
        <w:t>E. 2.4</w:t>
      </w:r>
    </w:p>
    <w:p>
      <w:r>
        <w:t>Zu den Sprachnachrichten wurde der Beschuldigte insbesondere am</w:t>
      </w:r>
    </w:p>
    <w:p>
      <w:r>
        <w:rPr>
          <w:b/>
        </w:rPr>
        <w:t>E. 2.5</w:t>
      </w:r>
    </w:p>
    <w:p>
      <w:r>
        <w:t>Die vorinstanzliche Würdigung der Aussagen des Beschuldigten ist korrekt und kann übernommen werden (Urk. 54 S. 98 f.). Zutreffend ist insbesondere, dass der Beschuldigte mittels Sprachnachrichten Geld von der Privatklägerin for- derte. Dies geht aus sämtlichen vier anklagerelevanten Nachrichten vom 12. Ok- tober 2019 hervor (Urk. 21/11 S. 9; Urk. 6/2/10 S. 8 [Nr. 40, 15:38:23 Uhr], S. 11</w:t>
      </w:r>
    </w:p>
    <w:p>
      <w:r>
        <w:t>- 11 - [Nr. 38, 15:47:45 Uhr], S. 12 [Nr. 37, 15:48:24 Uhr], S. 13 [Nr. 36, 15:49:58 Uhr]). Dabei forderte der Beschuldigte einen Betrag von Fr. 800.– (Urk. 6/2/10 S. 8 [Nr. 39, 15:39:26 Uhr], S. 10 [Nr. 17, 15:44:19 Uhr]). Im Rahmen seiner Befragun- gen betonte er wiederholt, er habe der Privatklägerin Geld geliehen und dieses später mit den Nachrichten zurückverlangt (Urk. 7/2/10 S. 22 ff., S. 33 ff.; Urk. 7/2/11 S. 13 ff.; Urk. 30 S. 20). Dies sei der Inhalt der Nachrichten gewesen. Auf Aufforderung, die Nachricht Nr. 37 (Urk. 6/2/10 S. 12) zu erläutern, gab er zu Antwort: "Das ist ja klar. Das habe ich wegen meinem Geld gesagt. Eine andere Bedeutung hat das nicht" (Urk. 7/2/11 S. 14). Auch mit der Sprachnachricht "Wenn du mir mein Geld nicht gibst, werde ich kommen und dir deinen Arsch auf- reissen" (Nr. 38, 6/2/10 S. 11) habe er "versucht, mein Geld zurückzubekommen, aber sie haben es mir nicht gegeben, was hätte ich tun können" (Urk. 7/2/11 S. 15). Mit den Sprachnachrichten verlangte der Beschuldigte von der Privatklä- gerin mithin einen Geldbetrag. Daran ändert selbstredend nichts, dass der Be- schuldigte schlussendlich auf eine Rückzahlung verzichtet haben will (Urk. 7/2/10 S. 35: "[…] und ich habe gesagt, wenn sie nicht zurückzahlen, verzichte ich da- rauf"). Zusammenfassend ist der Wortlaut der Nachrichten klar. Auch die Verteidigung stellt dies zu Recht nicht in Abrede (Urk. 34 S. 26: "Natürlich ist der Wortlaut so, dass er sein Geld zurück will"). Damit ist der Tathergang im Sinne der Anklage erstellt. Es ist schliesslich in subjektiver Hinsicht nicht zweifelhaft, dass der Beschuldigte die Sprachnachrich- ten so verstanden haben wollte, wie er sie formuliert hatte. Dabei rechtfertigt es sich, auf die "Androhung ernstlicher Nachteile" im Rahmen der rechtlichen Sub- sumption näher einzugehen. Macht die Verteidigung geltend, die Sprachnachrich- ten seien als blosse Beschimpfungen zu verstehen, kann ihr nicht gefolgt werden. Die Aufforderungen an die Adresse der Privatklägerin zur Rückzahlung des Gel- des gingen zwar mehrheitlich mit Beschimpfungen einher. Dass das eine das an- dere nicht ausschliesst, bedarf keiner Erklärung (vgl. auch der Beschuldigte in Urk. 7/2/11 S. 15 betreffend die Nachricht Nr. 38: "Die Hälfte dieser Nachricht ist die Antwort auf die Beleidigungen dieser Frau mir gegenüber und meiner Familie</w:t>
      </w:r>
    </w:p>
    <w:p>
      <w:r>
        <w:t>- 12 - gegenüber und die andere Hälfte ist wegen meines Geldes"). Ebenso wenig ver- mag die Argumentation der Verteidigung, die angeklagten Sprachnachrichten sei- en Folgen der vorgängigen Nachrichten der Privatklägerin gewesen (Urk. 81 S. 3 ff.), den Beschuldigten zu entlasten. Zum einen lässt dies die fraglichen Sprach- nachrichten des Beschuldigten nicht in einem anderen Licht erscheinen. Zum an- dern erfolgte im Vorfeld mit Blick auf die durch den Beschuldigten gelöschten Nachrichten eine gegenseitige und nicht einseitige Kontaktaufnahme (vgl. Urk. 6/2/4). Entgegen der Darstellung der Verteidigung (Urk. 81 S. 3) vermag ins- besondere auch die von der Privatklägerin versandte Sprachnachricht Nr. 28 den Beschuldigten nicht zu entlasten. Die zeitlich erste, der in der Anklageschrift auf- geführten Sprachnachrichten, wurde um 15:38:23 Uhr versandt (Nr. 40, 6/2/10 S. 8), womit sie fast 10 Minuten vor der von der Verteidigung angeführten Nach- richt Nr. 28 der Privatklägerin, welche um 15:47:45 Uhr versandt wurde, übermit- telt wurde. Festzuhalten bleibt daher einzig, dass die Geldforderungen des Be- schuldigten im Rahmen der via Sprachnachrichten geführten Auseinandersetzung zwischen den Parteien erfolgten. Darüber hinaus vermag der Beschuldigte aus dem zeitlichen Ablauf der Sprachnachrichten nichts zu seinen Gunsten abzulei- ten. Auf das Argument, es habe sich bei den Sprachnachrichten des Beschuldig- ten um eine Retorsion im Sinne des Gesetzes gehandelt, ist unter dem Titel der rechtlichen Würdigung einzugehen (vgl. hinten E. II.2). III. Rechtliche Würdigung 1. Der Nötigung nach Art. 181 StGB macht sich schuldig, wer jemanden durch Gewalt oder Androhung ernstlicher Nachteile oder durch andere Beschränkung seiner Handlungsfreiheit nötigt, etwas zu tun, zu unterlassen oder zu dulden. Beim Tatmittel der Androhung ernstlicher Nachteile stellt der Täter dem Opfer die Zufügung eines Übels in Aussicht, dessen Eintritt er als von seinem Willen abhängig erscheinen lässt. Es kommt dabei nicht darauf an, ob der Täter die Drohung wirklich wahr machen will, sofern sie nur als ernst gemeint erscheinen soll. Ernstlich sind die Nachteile, wenn ihre Androhung nach einem objektiven Massstab geeignet ist, auch eine besonnene Person in der Lage des Betroffenen gefügig zu machen und so seine Freiheit der Willensbildung oder Willensbetä-</w:t>
      </w:r>
    </w:p>
    <w:p>
      <w:r>
        <w:t>- 13 - tigung zu beschränken (BGE 122 IV 322 E. 1a S. 324 f.; Urteil 6B_1139/2017 vom 23. Mai 2018 E. 2.2.2; je mit Hinweisen). 2. Die Vorinstanz hat das vom Beschuldigten in den Sprachnachrichten ange- kündigte Übel zutreffend als Androhung ernstlicher Nachteile im Sinne von Art. 181 StGB qualifiziert (Urk. 54 S. 99 ff.). Darauf kann verwiesen werden. Das vom Beschuldigten angedrohte Übel richtete sich nicht nur gegen die körperliche Integrität der Privatklägerin. Vielmehr drohte er ihr (und ihrem Ehemann), sie in Verruf zu bringen. Die Privatklägerin und der Beschuldigte hatten ab August 2018 bis Oktober 2019 regelmässig Sexualkontakte, wobei diese nach der Darstellung des Beschuldigten einvernehmlich und im Rahmen einer Beziehung und nach der Darstellung der Privatklägerin nur aufgrund von Drohungen erfolgten (vgl. bei- spielsweise Urk. 54 S. 62 f.). Die entsprechenden Vorwürfe etwa der mehrfachen Vergewaltigung mündeten in Freisprüche. Die Privatklägerin hielt wiederholt fest, sie habe befürchtet, der Beschuldigte würde ihre Familie im Iran respektive ihren Ehemann in Griechenland kontaktieren und informieren (vgl. beispielsweise Urk. 7/1/5 S. 32). Der Beschuldigte stellte der Privatklägerin mithin in verschiede- ner Hinsicht ein Übel in Aussicht. Dies hielt die Verteidigung vor Vorinstanz im Grunde genommen selbst so fest: "Davon ausgehend, dass die beiden tatsächlich eine sexuelle Beziehung hatten (das ist ja im Grundsatz erstellt), befürchtete sie wegen dieser Nachrichten, dass der Beschuldigte diese ihrem Mann nun aus- plappern werde, um sein Geld zu erhalten (was er wie oben gesehen gar nicht beabsichtigte). Der Wortlaut war konkret: 'alles was du getan hast, werde ich of- fenbaren' - 'entweder Geld oder das Gesicht verlieren' " (Urk. 34 S. 27). Dass der Beschuldigte dies wie von ihm behauptet nicht ernst meinte, ändert nichts an der Tatbestandsmässigkeit. Das Nötigungsmittel war rechtswidrig, der Erfolg (die Zahlung) blieb aus. Entgegen der Argumentation der Verteidigung (Urk. 81 S. 2), handelt es sich bei den Äusserungen vor diesem Hintergrund auch nicht um bloss "rüpelhaftes Ver- halten". Es war im Gegenteil – wie aufgezeigt – rechtswidrig und erfüllt die objek- tiven Tatbestandsmerkmale der Nötigung im Sinne von Art. 181 StGB. Eine zur Straflosigkeit führende Retorsion, wie sie von der Verteidigung vorgebracht wird,</w:t>
      </w:r>
    </w:p>
    <w:p>
      <w:r>
        <w:t>- 14 - ist bei einer Nötigung – im Gegensatz zu einer Beschimpfung oder einer Tätlich- keit (vgl. Art. 177 Abs. 3 StGB) – im Übrigen von vornherein nicht möglich. Dass gewisse Nachrichten des Beschuldigten direkt im Anschluss an solche der Privat- klägerin erfolgten, ändert an der Tatbestandsmässigkeit bzw. der Strafbarkeit da- her nichts. Eine Nötigung braucht zudem auch nicht von langer Hand geplant zu werden. Die Umstände, unter welchen die Sprachnachrichten gesendet wurden, werden indessen im Rahmen der Strafzumessung zu berücksichtigen sein. Be- treffend die objektiven Tatbestandsmerkmale handelte der Beschuldigte gestützt auf das Beweisergebnis mit Wissen und Willen und damit vorsätzlich. 3. Der Beschuldigte ist der versuchten Nötigung im Sinne von Art. 181 StGB in Verbindung mit Art. 22 Abs. 1 StGB schuldig zu sprechen. IV. Strafzumessung 1. Anträge/Grundsätze</w:t>
      </w:r>
    </w:p>
    <w:p>
      <w:r>
        <w:rPr>
          <w:b/>
        </w:rPr>
        <w:t>E. 4</w:t>
      </w:r>
    </w:p>
    <w:p>
      <w:r>
        <w:t>Tagessatzhöhe Der Beschuldigte beziffert seinen Nettolohn als angestellter Hilfskoch auf netto Fr. 3'720.– (nach Abzug der Quellensteuern). Er lebt allein und hat keine belegten Unterstützungspflichten. Zu berücksichtigen ist ein Abzug für Lebenskosten. Da- mit ist der Tagessatz auf Fr. 60.– festzusetzen.</w:t>
      </w:r>
    </w:p>
    <w:p>
      <w:r>
        <w:t>- 17 -</w:t>
      </w:r>
    </w:p>
    <w:p>
      <w:r>
        <w:rPr>
          <w:b/>
        </w:rPr>
        <w:t>E. 5</w:t>
      </w:r>
    </w:p>
    <w:p>
      <w:r>
        <w:t>Zusammenfassung</w:t>
      </w:r>
    </w:p>
    <w:p>
      <w:r>
        <w:rPr>
          <w:b/>
        </w:rPr>
        <w:t>E. 5.1</w:t>
      </w:r>
    </w:p>
    <w:p>
      <w:r>
        <w:t>Der Beschuldigte ist mit einer Geldstrafe von 60 Tagessätzen zu Fr. 60.– zu bestrafen.</w:t>
      </w:r>
    </w:p>
    <w:p>
      <w:r>
        <w:rPr>
          <w:b/>
        </w:rPr>
        <w:t>E. 5.2</w:t>
      </w:r>
    </w:p>
    <w:p>
      <w:r>
        <w:t>Nach Art. 51 StGB rechnet das Gericht die Untersuchungshaft, die der Tä- ter während dieses oder eines anderen Verfahrens ausgestanden hat, auf die Strafe an. Ein Tag Haft entspricht einem Tagessatz Geldstrafe. Zu entziehende Freiheit soll demnach wenn immer möglich mit bereits entzogener kompensiert werden. Anzurechnen ist sowohl auf unbedingte als auch auf bedingte Strafen (BGE 135 IV 126 E. 1.3.6 S. 129). Nach dem Wortlaut von Art. 51 StGB ist für die Anrechnung der Haft weder Tat- noch Verfahrensidentität erforderlich. Es ist da- bei primär auf Freiheitsstrafen anzurechnen, sekundär auf allfällige Nebensankti- onen wie Geldstrafen, Arbeitsstrafen oder Bussen (BGE 141 IV 236 E. 3.3 S. 239 mit Hinweisen). Der Beschuldigte befand sich ab 11. Januar 2021, 06.15 Uhr, bis zum 17. Februar 2021, 20.00 Uhr, und damit während 38 Tage in Haft (Urk. 8/5 und Urk. 8/44 S. 2). Die erstandene Haft von 38 Tagen ist auf die Geldstrafe anzurechnen. Dem Beschuldigten wurden am 19. Februar 2021 verschiedene Ersatzmass- nahmen auferlegt (Beschlagnahmung des afghanischen Passes; Verbot, den Kanton Bern zu betreten; Kontaktverbot betreffend die Privatklägerin und de- ren Familie). Die Zwangsmassnahmen wurden mehrmals verlängert und am 30. Mai 2022 schliesslich aufgehoben (Urk. 8/46; Urk. 8/51; Urk. 8/56; Urk. 8/61; Beizugsakten GH220006 Urk. 3; Urk. 54 S. 123 f.). Nach der Rechtsprechung sind Ersatzmassnahmen analog der Untersuchungs- haft auf die Freiheitsstrafe anzurechnen. Bei der Bemessung der anrechenbaren Dauer hat das Gericht den Grad der Beschränkung der persönlichen Freiheit im Vergleich zum Freiheitsentzug bei Untersuchungshaft zu berücksichtigen. Dabei kommt dem Gericht ein erheblicher Ermessensspielraum zu (vgl. BGE 140 IV 74 E. 2.4 S. 79 mit Hinweisen). Das Verbot, die Privatklägerin und deren Familie zu kontaktieren, dürfte den Beschuldigten nicht tangiert haben. Einschneidende Beschränkungen, die mit dem Betretungsverbot in Bezug auf den Kanton Bern</w:t>
      </w:r>
    </w:p>
    <w:p>
      <w:r>
        <w:t>- 18 - und mit der Beschlagnahmung des afghanischen Passes einhergingen, bringt der Beschuldigte nicht vor. Deshalb ist von einer wesentlichen Beschränkung der per- sönlichen Freiheit, die eine Anrechnung an die Strafe im Sinne von Art. 51 StGB gebieten würde, nicht auszugehen. V. Vollzug Nach Art. 42 Abs. 1 StGB schiebt das Gericht den Vollzug einer Geldstrafe oder einer Freiheitsstrafe von höchstens zwei Jahren in der Regel auf, wenn eine un- bedingte Strafe nicht notwendig erscheint, um den Täter von der Begehung weite- rer Verbrechen oder Vergehen abzuhalten. Für den bedingten Vollzug nach Art. 42 Abs. 1 StGB genügt das Fehlen einer ungünstigen Prognose, das heisst die Abwesenheit der Befürchtung, der Täter werde sich nicht bewähren (BGE 134 IV 1 E. 4.2.2 S. 5 f.). Die Prüfung der Bewährungsaussichten des Täters ist an- hand einer Gesamtwürdigung aller wesentlichen Umstände vorzunehmen (BGE 144 IV 277 E. 3.2 S. 282 f.; vgl. dazu im Einzelnen: BGE 134 IV 1 E. 4.2.1 S. 5; 134 IV 140 E. 4.5 S. 144; je mit Hinweisen). Die Vorinstanz gewährt dem Beschuldigten den bedingten Strafvollzug. Die Pro- bezeit setzt sie auf zwei Jahre fest. Auf die vorinstanzlichen Erwägungen kann verwiesen werden (Urk. 54 S. 111 f.). VI. Kosten- und Entschädigungsfolgen 1. Kostenfolgen im erstinstanzlichen Verfahren Die erstinstanzliche Kostenfestsetzung (inklusive der Entschädigung der amtli- chen Verteidigung und des Rechtsbeistandes der Privatklägerin, Dispositivziffer 9) ist wie ausgeführt in Rechtskraft erwachsen. Die beschuldigte Person trägt gemäss Art. 426 Abs. 1 StPO die Verfahrenskos- ten, wenn sie verurteilt wird. Wird sie nur teilweise schuldig gesprochen, sind ihr die Verfahrenskosten grundsätzlich nur anteilsmässig aufzuerlegen. Der beschul- digten Person können die gesamten Kosten des Untersuchungsverfahrens und des erstinstanzlichen Verfahrens auferlegt werden, wenn die ihr zur Last gelegten</w:t>
      </w:r>
    </w:p>
    <w:p>
      <w:r>
        <w:t>- 19 - Handlungen in einem engen und direkten Zusammenhang stehen und alle Unter- suchungshandlungen hinsichtlich jedes Anklagepunkts notwendig waren (Urteil 6B_115/2019 vom 15. Mai 2019 E. 4.3 mit Hinweisen). Ein einheitlicher Sach- verhaltskomplex liegt hier nicht vor. Die Vorinstanz berücksichtigt zutreffend, dass der Beschuldigte einzig der versuchten Nötigung schuldig zu sprechen ist und die übrigen Vorwürfe in einen Freispruch münden. Die vorinstanzliche Kostenauflage im Umfang von Fr. 1'000.-- kann übernommen werden. 2. Kosten- und Entschädigungsfolgen im Berufungsverfahren</w:t>
      </w:r>
    </w:p>
    <w:p>
      <w:r>
        <w:rPr>
          <w:b/>
        </w:rPr>
        <w:t>E. 10</w:t>
      </w:r>
    </w:p>
    <w:p>
      <w:r>
        <w:t>(…).</w:t>
      </w:r>
    </w:p>
    <w:p>
      <w:r>
        <w:rPr>
          <w:b/>
        </w:rPr>
        <w:t>E. 11</w:t>
      </w:r>
    </w:p>
    <w:p>
      <w:r>
        <w:t>Die Kosten der amtlichen Verteidigung werden definitiv auf die Gerichtskasse ge- nommen.</w:t>
      </w:r>
    </w:p>
    <w:p>
      <w:r>
        <w:rPr>
          <w:b/>
        </w:rPr>
        <w:t>E. 12</w:t>
      </w:r>
    </w:p>
    <w:p>
      <w:r>
        <w:t>Die Kosten der unentgeltlichen Rechtsverbeiständung der Privatklägerin werden definitiv auf die Gerichtskasse genommen.</w:t>
      </w:r>
    </w:p>
    <w:p>
      <w:r>
        <w:rPr>
          <w:b/>
        </w:rPr>
        <w:t>E. 13</w:t>
      </w:r>
    </w:p>
    <w:p>
      <w:r>
        <w:t>(…)</w:t>
      </w:r>
    </w:p>
    <w:p>
      <w:r>
        <w:rPr>
          <w:b/>
        </w:rPr>
        <w:t>E. 14</w:t>
      </w:r>
    </w:p>
    <w:p>
      <w:r>
        <w:t>(Mitteilungen)</w:t>
      </w:r>
    </w:p>
    <w:p>
      <w:r>
        <w:rPr>
          <w:b/>
        </w:rPr>
        <w:t>E. 15</w:t>
      </w:r>
    </w:p>
    <w:p>
      <w:r>
        <w:t>(Rechtsmittel)"</w:t>
      </w:r>
    </w:p>
    <w:p>
      <w:r>
        <w:t>- 26 - 2. Schriftliche Mitteilung mit nachfolgendem Urteil. Es wird erkannt: 1. Der Beschuldigte B._____ ist schuldig der versuchten Nötigung im Sinne von Art. 181 StGB in Verbindung mit Art. 22 Abs. 1 StGB. 2. Der Beschuldigte wird bestraft mit einer Geldstrafe von 60 Tagessätzen zu Fr. 60.–, wovon 38 Tagessätze als durch Untersuchungshaft geleistet gelten. 3. Der Vollzug der Geldstrafe wird aufgeschoben und die Probezeit auf zwei Jahre festgesetzt. 4. Das erstinstanzliche Kostendispositiv (Ziff. 10) wird bestätigt. 5. Die zweitinstanzliche Gerichtsgebühr wird festgesetzt auf: Fr. 2'500.– ; die weiteren Kosten betragen: Fr. 3'075.– frühere amtliche Verteidigung (bereits ausbezahlt) 6. Die Kosten des Berufungsverfahrens – mit Ausnahme der Kosten der früheren amtlichen Verteidigung – werden dem Beschuldigten zu 4/5 aufer- legt und zu 1/5 auf die Gerichtskasse genommen. Die Kosten der früheren amtlichen Verteidigung werden zu 4/5 einstweilen und zu 1/5 definitiv auf die Gerichtskasse genommen. Die Rückzahlungs- pflicht des Beschuldigten bleibt im Umfang von 4/5 gemäss Art. 135 Abs. 4 StPO vorbehalten. 7. Dem Beschuldigten wird eine reduzierte Prozessentschädigung von Fr. 663.– für anwaltliche Verteidigung aus der Gerichtskasse zugesprochen. 8. Dem Beschuldigten werden Fr. 16'787.–, zuzüglich 5 % Zins seit 22. Juni 2021, als Schadenersatz aus der Gerichtskasse zugesprochen. Das Verrechnungsrecht des Staates bleibt vorbehalten.</w:t>
      </w:r>
    </w:p>
    <w:p>
      <w:r>
        <w:t>- 27 - 9. Die Genugtuungsforderung wird abgewiesen. 10. Schriftliche Mitteilung im Dispositiv an − die Verteidigung im Doppel für sich und zuhanden des Beschuldigten (per IncaMail) − die Staatsanwaltschaft See/Oberland (per Mail) − die Vertretung der Privatklägerin im Doppel für sich und die Privatklägerschaft (per IncaMail) sowie in vollständiger Ausfertigung an − die Verteidigung im Doppel für sich und zuhanden des Beschuldigten − die Staatsanwaltschaft See/Oberland − die Vertretung der Privatklägerin im Doppel für sich und die Privatklägerschaft und nach unbenütztem Ablauf der Rechtsmittelfrist bzw. Erledigung allfälli- ger Rechtsmittel an − die Vorinstanz − das Migrationsamt des Kantons Zürich − die Koordinationsstelle VOSTRA/DNA mit Formular A − die Koordinationsstelle VOSTRA/DNA mit dem Formular "Löschung des DNA-Profils und Vernichtung des ED-Materials".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- 28 - Die Beschwerdelegitimation und die weiteren Beschwerdevoraussetzungen richten sich nach den massgeblichen Bestimmungen des Bundesgerichts- gesetzes. Obergericht des Kantons Zürich I. Strafkammer Zürich, 11. Mai 2023 Der Präsident: Der Gerichtsschreiber: lic. iur. Ch. Prinz MLaw L. Zanetti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