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SB220466 vom 6. Dezember 2022</w:t>
      </w:r>
    </w:p>
    <w:p>
      <w:r>
        <w:t>ZH Obergericht, 2022-12-06, DE</w:t>
      </w:r>
    </w:p>
    <w:p>
      <w:r>
        <w:rPr>
          <w:b/>
        </w:rPr>
        <w:t xml:space="preserve">Quelle: </w:t>
      </w:r>
      <w:r>
        <w:t>https://mcp.opencaselaw.ch/entscheid/zh_obergericht_SB220466</w:t>
      </w:r>
    </w:p>
    <w:p>
      <w:r>
        <w:t>FR: ZH_OBERGERICHT SB220466 du 6 décembre 2022</w:t>
      </w:r>
    </w:p>
    <w:p>
      <w:r>
        <w:t>IT: ZH_OBERGERICHT SB220466 del 6 dicembre 2022</w:t>
      </w:r>
    </w:p>
    <w:p>
      <w:pPr>
        <w:pStyle w:val="Heading2"/>
      </w:pPr>
      <w:r>
        <w:t>Erwägungen</w:t>
      </w:r>
    </w:p>
    <w:p>
      <w:r>
        <w:rPr>
          <w:b/>
        </w:rPr>
        <w:t>E. 1</w:t>
      </w:r>
    </w:p>
    <w:p>
      <w:r>
        <w:t>Mit Urteil des Bezirksgerichtes Zürich, 10. Abteilung - Einzelgericht, vom 8. Juli 2022 wurde der Beschuldigte vom Vorwurf des Angriffs freigesprochen. Die Vorinstanz sprach ihm eine Genugtuung für den erlittenen Freiheitsentzug zu und entschied über die sichergestellten Gegenstände (Urk. 24). Gegen dieses Urteil meldete die Staatsanwaltschaft mit Eingabe vom 13. Juli 2022 fristgerecht Berufung an (Urk. 25A/1; Urk. 27), reichte hernach jedoch keine Berufungserklä- rung ein.</w:t>
      </w:r>
    </w:p>
    <w:p>
      <w:r>
        <w:rPr>
          <w:b/>
        </w:rPr>
        <w:t>E. 2</w:t>
      </w:r>
    </w:p>
    <w:p>
      <w:r>
        <w:t>Gemäss Art. 399 Abs. 3 StPO hat diejenige Partei, welche Berufung ange- meldet hat, dem Berufungsgericht innert 20 Tagen seit der Zustellung des be- gründeten Urteils eine Berufungserklärung einzureichen. Vorliegend wurde das begründete Urteil am 30. August 2022 von der Staatsan- waltschaft entgegengenommen (Urk. 31/1; Urk. 32). Die 20-tägige Frist zur Ein- reichung der Berufungserklärung lief demnach am 19. September 2022 ab. Da innert Frist keine Berufungserklärung einging, ist auf die Berufung der Staatsan- waltschaft nicht einzutreten (Art. 403 Abs. 1 und Abs. 3 StPO). Auf die Einholung von Stellungnahmen der Parteien im Sinne von Art. 403 Abs. 2 StPO kann ver- zichtet werden (vgl. ZR 110/2011, S. 217).</w:t>
      </w:r>
    </w:p>
    <w:p>
      <w:r>
        <w:rPr>
          <w:b/>
        </w:rPr>
        <w:t>E. 3</w:t>
      </w:r>
    </w:p>
    <w:p>
      <w:r>
        <w:t>Mit Präsidialverfügung vom 25. Oktober 2022 wurde dem Privatkläger A._____ nachträglich das begründete Urteil des Bezirksgerichtes Zürich vom 8. Juli 2022 zugestellt mit dem Hinweis, dass er innert 20 Tagen eine schriftliche Berufungserklärung einzureichen habe, sofern er gegen dieses Urteil Berufung erheben möchte (Urk. 36; Urk. 37/3). Da innert Frist keine Berufungserklärung des Privatklägers einging, ist seinerseits vom Verzicht auf die Erhebung eines Rechtsmittels auszugehen.</w:t>
      </w:r>
    </w:p>
    <w:p>
      <w:r>
        <w:rPr>
          <w:b/>
        </w:rPr>
        <w:t>E. 4</w:t>
      </w:r>
    </w:p>
    <w:p>
      <w:r>
        <w:t>Die Kosten des Rechtsmittelverfahrens tragen die Parteien nach Massgabe ihres Obsiegens oder Unterliegens. Als unterliegend gilt auch die Partei, auf de- ren Rechtsmittel nicht eingetreten wird (Art. 428 Abs. 1 StPO). Unterliegt die Un- tersuchungsbehörde, wie im vorliegenden Fall, trägt der verfahrensführende Kan-</w:t>
      </w:r>
    </w:p>
    <w:p>
      <w:r>
        <w:t>- 3 - ton die Kosten (SCHMID/JOSITSCH, Praxiskommentar StPO, 3. Auflage, Zürich/St. Gallen 2018, N 3 zu Art. 428 StPO). Die zweitinstanzliche Gerichtsgebühr fällt dementsprechend ausser Ansatz. Die Kosten der amtlichen Verteidigung, welche entsprechend ihrer Honorarnote vom 8. Oktober 2022 auf Fr. 691.65 (inkl. MWST) festzusetzen sind (Urk. 34), sind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