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SB220443 vom 4. Oktober 2022</w:t>
      </w:r>
    </w:p>
    <w:p>
      <w:r>
        <w:t>ZH Obergericht, 2022-10-04, DE</w:t>
      </w:r>
    </w:p>
    <w:p>
      <w:r>
        <w:rPr>
          <w:b/>
        </w:rPr>
        <w:t xml:space="preserve">Quelle: </w:t>
      </w:r>
      <w:r>
        <w:t>https://mcp.opencaselaw.ch/entscheid/zh_obergericht_SB220443</w:t>
      </w:r>
    </w:p>
    <w:p>
      <w:r>
        <w:t>FR: ZH_OBERGERICHT SB220443 du 4 octobre 2022</w:t>
      </w:r>
    </w:p>
    <w:p>
      <w:r>
        <w:t>IT: ZH_OBERGERICHT SB220443 del 4 ottobre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20. Dezember 2021 meldete die Staatsanwaltschaft See/Oberland ge- gen das Urteil des Bezirksgerichtes Uster, Einzelgericht in Strafsachen, vom 7. Dezember 2021 Berufung an (Urk. 50), reichte hernach jedoch keine Beru- fungserklärung ein.</w:t>
      </w:r>
    </w:p>
    <w:p>
      <w:r>
        <w:rPr>
          <w:b/>
        </w:rPr>
        <w:t>E. 2</w:t>
      </w:r>
    </w:p>
    <w:p>
      <w:r>
        <w:t>Gemäss Art. 399 Abs. 3 StPO hat die Partei, die Berufung angemeldet hat, dem Berufungsgericht innert 20 Tagen seit der Zustellung des begründeten Ur- teils eine Berufungserklärung einzureichen, worauf im vorinstanzlichen Urteil hin- gewiesen wurde (Urk. 54 S. 27 f.). Vorliegend wurde das begründete Urteil vom</w:t>
      </w:r>
    </w:p>
    <w:p>
      <w:r>
        <w:rPr>
          <w:b/>
        </w:rPr>
        <w:t>E. 7</w:t>
      </w:r>
    </w:p>
    <w:p>
      <w:r>
        <w:t>Dezember 2021 am 30. Mai 2022 von der Staatsanwaltschaft entgegenge- nommen (Urk. 53). Damit begann die Frist zur Einreichung der Berufungserklä- rung am 31. Mai 2022 zu laufen und endete am 20. Juni 2022 (Art. 90 Abs. 1 und Abs. 2 StPO). Da innert Frist keine Berufungserklärung einging, ist auf die Berufung der Staats- anwaltschaft androhungsgemäss nicht einzutreten, ohne dass von den Parteien eine Stellungnahme im Sinne von Art. 403 Abs. 2 StPO einzuholen ist (vgl. ZR 110/2011 S. 217). 3. Die Kosten des Rechtsmittelverfahrens tragen die Parteien nach Massgabe ihres Obsiegens oder Unterliegens. Als unterliegend gilt auch die Partei, auf de- ren Rechtmittel nicht eingetreten wird oder die das Rechtsmittel zurückzieht (Art. 428 Abs. 1 StPO). Unterliegt die Staatsanwaltschaft, trägt der verfahrensfüh- rende Kanton die Kosten (Schmid/Jositsch, StPO Praxiskommentar, 3. Aufl., Art. 428 N 3). Mangels erkennbarer Umtriebe sind keine Entschädigungen zuzu- 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