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SB220429 vom 4. Mai 2023</w:t>
      </w:r>
    </w:p>
    <w:p>
      <w:r>
        <w:t>ZH Obergericht, 2023-05-04, DE</w:t>
      </w:r>
    </w:p>
    <w:p>
      <w:r>
        <w:rPr>
          <w:b/>
        </w:rPr>
        <w:t xml:space="preserve">Quelle: </w:t>
      </w:r>
      <w:r>
        <w:t>https://mcp.opencaselaw.ch/entscheid/zh_obergericht_SB220429</w:t>
      </w:r>
    </w:p>
    <w:p>
      <w:r>
        <w:t>FR: ZH_OBERGERICHT SB220429 du 4 mai 2023</w:t>
      </w:r>
    </w:p>
    <w:p>
      <w:r>
        <w:t>IT: ZH_OBERGERICHT SB220429 del 4 maggio 2023</w:t>
      </w:r>
    </w:p>
    <w:p>
      <w:pPr>
        <w:pStyle w:val="Heading2"/>
      </w:pPr>
      <w:r>
        <w:t>Erwägungen</w:t>
      </w:r>
    </w:p>
    <w:p>
      <w:r>
        <w:rPr>
          <w:b/>
        </w:rPr>
        <w:t>E. 1</w:t>
      </w:r>
    </w:p>
    <w:p>
      <w:r>
        <w:t>November 2022 das schriftliche Verfahren angeordnet und der Staatsanwalt- schaft Gelegenheit gegeben, im Sinne der Erwägungen ihre Berufungsanträge zu stellen und zu begründen (Urk. 95). Die Staatsanwaltschaft reichte mit Eingabe vom 16. November 2022 innert Frist die Berufungsbegründung ein (Urk. 97). Mit Präsidialverfügung vom 29. November 2022 wurde dem Beschuldigten Frist zur Einreichung der Berufungsantwort angesetzt und der Vorinstanz Gelegenheit zur</w:t>
      </w:r>
    </w:p>
    <w:p>
      <w:r>
        <w:t>- 5 - Stellungnahme eingeräumt (Urk. 98). Letztere verzichtete auf eine Vernehmlas- sung (Urk. 100). Mit Eingabe vom 19. Dezember 2022 liess der Beschuldigte die Berufungsantwort einreichen (Urk. 101). Nach Zustellung der Berufungsantwort an die Staatsanwaltschaft mit Präsidialverfügung vom 3. Januar 2023 (Urk. 103) ging vom Beschuldigten keine weitere Stellungnahme mehr ein. Das Verfahren erweist sich als spruchreif.</w:t>
      </w:r>
    </w:p>
    <w:p>
      <w:r>
        <w:rPr>
          <w:b/>
        </w:rPr>
        <w:t>E. 1.1</w:t>
      </w:r>
    </w:p>
    <w:p>
      <w:r>
        <w:t>Die Kosten des Berufungsverfahrens tragen die Parteien nach Massgabe ih- res Obsiegens oder Unterliegens (Art. 428 Abs. 1 StPO). Im Urteil vom 26. Januar 2021 wurden die Kosten des Berufungsverfahrens, mit Ausnahme derjenigen der amtlichen Verteidigung, dem Beschuldigten zu zwei Dritteln auferlegt und im Üb- rigen auf die Gerichtskasse genommen. Die Kosten der amtlichen Verteidigung wurden auf die Gerichtskasse genommen, wobei die Rückzahlungspflicht des Be- schuldigten gemäss Art. 135 Abs. 4 StPO im Umfang von zwei Dritteln vorbehal- ten wurde (Urk. 80 S. 14).</w:t>
      </w:r>
    </w:p>
    <w:p>
      <w:r>
        <w:rPr>
          <w:b/>
        </w:rPr>
        <w:t>E. 1.2</w:t>
      </w:r>
    </w:p>
    <w:p>
      <w:r>
        <w:t>Die Staatsanwaltschaft obsiegt (wie bereits im ersten Berufungsverfahren) mit ihrem Antrag im Schuldpunkt betreffend den unrechtmässigen Bezug von Leistungen der Sozialhilfe im Sinne von Art. 148a Abs. 1 StGB. Mit Blick auf das geforderte Strafmass unterliegt sie zwar nur knapp, jedoch hinsichtlich der bean- tragten Vollzugsform vollumfänglich. Demgegenüber wird auch den Anträgen des Beschuldigten nicht vollumfänglich entsprochen, zumal er nebst einer Geldstrafe auch mit einer Freiheitsstrafe bestraft wird und die Strafe gesamthaft betrachtet höher als beantragt ausfällt. Vor diesem Hintergrund rechtfertigt es sich, die Ko- sten des ersten Berufungsverfahrens, mit Ausnahme derjenigen der amtlichen</w:t>
      </w:r>
    </w:p>
    <w:p>
      <w:r>
        <w:t>- 21 - Verteidigung, dem Beschuldigten zur Hälfte aufzuerlegen und im Übrigen auf die Gerichtskasse zu nehmen. Die Kosten der amtlichen Verteidigung sind auf die Gerichtskasse zu nehmen. Die Rückzahlungspflicht des Beschuldigten gemäss Art. 135 Abs. 4 StPO im Umfang der Hälfte ist vorzubehalten. 2. Kosten- und Entschädigungsfolgen des zweiten Berufungsverfahrens</w:t>
      </w:r>
    </w:p>
    <w:p>
      <w:r>
        <w:rPr>
          <w:b/>
        </w:rPr>
        <w:t>E. 1.3</w:t>
      </w:r>
    </w:p>
    <w:p>
      <w:r>
        <w:t>Ebenfalls korrekt ist der Hinweis der Vorinstanz, dass hinsichtlich der vor dem Jahr 2018 begangenen Delikte das alte Sanktionenrecht, hinsichtlich des Hausfriedensbruchs indessen aktuelles Recht anwendbar ist (Art. 2 Abs. 2 StGB), was auch das Bundesgericht in seinem Rückweisungsentscheid vom 25. Juli 2022 bestätigte (Urk. 92 E. 2.3). Des Weiteren erwog das Bundesgericht, dass für die vor 2018 begangenen Delikte als Einzelstrafen lediglich Geldstrafen in Frage kämen, weil die Voraussetzungen von Art. 41 Abs. 1 aStGB nicht erfüllt seien. Demgegenüber bleibe die Ausfällung einer bedingten Freiheitsstrafe unter</w:t>
      </w:r>
    </w:p>
    <w:p>
      <w:r>
        <w:rPr>
          <w:b/>
        </w:rPr>
        <w:t>E. 1.4</w:t>
      </w:r>
    </w:p>
    <w:p>
      <w:r>
        <w:t>Hervorzuheben ist schliesslich, dass das Bundesgericht die festgesetzte Höhe der einzelnen Strafen im Urteil vom 26. Januar 2021 grundsätzlich nicht be-</w:t>
      </w:r>
    </w:p>
    <w:p>
      <w:r>
        <w:t>- 8 - anstandete. Es wies die erkennende Kammer indes an, bei Ausfällung einer Geldstrafe nach Art. 49 Abs. 2 SGB eine Zusatzstrafe zum Urteil des Bezirksge- richts Dietikon vom 5. Dezember 2018 zu verhängen (Urk. 92 E. 3.3.1 und E. 3.4).</w:t>
      </w:r>
    </w:p>
    <w:p>
      <w:r>
        <w:rPr>
          <w:b/>
        </w:rPr>
        <w:t>E. 1.4.1</w:t>
      </w:r>
    </w:p>
    <w:p>
      <w:r>
        <w:t>Da der Beschuldigte sämtliche zu beurteilenden Delikte zeitlich vor dem Ur- teil des Bezirksgerichts Dietikon vom 5. Dezember 2018 begangen hat, liegt ret- rospektive Konkurrenz vor.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Das in Art. 49 Abs. 1 StGB verankerte Asperationsprinzip soll damit auch bei retrospektiver Konkurrenz gewährleistet werden. Gemäss bundesge- richtlicher Rechtsprechung greift das Asperationsprinzip nach Art. 49 Abs. 1 StGB allerdings nur, wenn mehrere gleichartige Strafen ausgesprochen werden. Bei ungleichartigen Strafen scheidet die Bildung einer Gesamtstrafe aus (BGE 141 IV 61 E. 6.1.2). Diese Voraussetzungen gelten auch für die Bildung einer Zusatzstra- fe bei retrospektiver Konkurrenz. Der Zweitrichter ist im Rahmen der Zusatz- strafenbildung nicht befugt, die Strafart des rechtskräftigen ersten Entscheides zu ändern (BGE 141 IV 61 E. 6.1.2; BGE 138 IV 120 E. 5.2).</w:t>
      </w:r>
    </w:p>
    <w:p>
      <w:r>
        <w:rPr>
          <w:b/>
        </w:rPr>
        <w:t>E. 1.4.2</w:t>
      </w:r>
    </w:p>
    <w:p>
      <w:r>
        <w:t>Die durch das Zweitgericht hypothetisch zu bildendende Gesamtstrafe setzt sich zusammen aus der rechtskräftigen Grundstrafe und den für die neuen Taten festzusetzenden Einzelstrafen. Es ist zu unterscheiden, ob die Grundstrafe oder die neu zu beurteilenden Delikte die schwerste Straftat enthalten. Im ersten Fall ist die Grundstrafe aufgrund der Einzelstrafen der neu zu beurteilenden Delik- te angemessen zu erhöhen. Anschliessend ist von der gebildeten Gesamtstrafe die Grundstrafe abzuziehen, was die Zusatzstrafe ergibt. Liegt dagegen der Ein- zel- oder Gesamtstrafe der neu zu beurteilenden Taten die schwerste Straftat zu- grunde, ist diese um die Grundstrafe angemessen zu erhöhen und die infolge As- peration eintretende Reduzierung der rechtskräftigen Grundstrafe von der Strafe für die neu zu beurteilenden Delikte abzuziehen. Dies ergibt die Zusatzstrafe (BGE 142 IV 265 E. 2.4.4).</w:t>
      </w:r>
    </w:p>
    <w:p>
      <w:r>
        <w:t>- 9 -</w:t>
      </w:r>
    </w:p>
    <w:p>
      <w:r>
        <w:rPr>
          <w:b/>
        </w:rPr>
        <w:t>E. 1.4.3</w:t>
      </w:r>
    </w:p>
    <w:p>
      <w:r>
        <w:t>Der Beschuldigte wurde mit Urteil des Bezirksgerichts Dietikon vom 5. Dezember 2018 wegen unrechtmässiger Verwendung von Vermögenswerten im Sinne von Art. 141bis StGB mit einer Geldstrafe von 120 Tagessätzen zu Fr. 30.– bestraft (Urk. 93). Der Strafrahmen des der Grundstrafe zugrundeliegen- den Delikts reicht von Geldstrafe bis 3 Jahre Freiheitsstrafe (Art. 141bis StGB). Da der Strafrahmen der Erschleichung einer falschen Beurkundung gemäss Art. 253 StGB weiter reicht (Geldstrafe bis 5 Jahre Freiheitsstrafe), enthalten die vorlie- gend neu zu beurteilenden Delikte und nicht die Grundstrafe die schwerste Straf- tat. Nachfolgend ist daher zunächst die hypothetische Einsatzstrafe für die mehr- fache Erschleichung einer falschen Beurkundung zu bestimmen und diese her- nach – soweit eine Geldstrafe auszufällen ist – in Anwendung des Asperations- prinzips (Art. 49 Abs. 1 StGB) für die weiteren vorliegend zu beurteilenden Delikte zu erhöhen, bevor es dann zu einer weiteren angemessenen Erhöhung um die Grundstrafe gemäss Urteil des Bezirksgerichts Dietikon vom 5. Dezember 2018 kommt. Die infolge Asperation eintretende Reduzierung der Grundstrafe ist von der Strafe für die neu zu beurteilenden Delikte abzuziehen und ergibt die Zusatz- strafe (BGE 142 IV 265 E. 2.4.4). 2. Konkrete Strafzumessung</w:t>
      </w:r>
    </w:p>
    <w:p>
      <w:r>
        <w:rPr>
          <w:b/>
        </w:rPr>
        <w:t>E. 2</w:t>
      </w:r>
    </w:p>
    <w:p>
      <w:r>
        <w:t>Bindungswirkung des Rückweisungsentscheides</w:t>
      </w:r>
    </w:p>
    <w:p>
      <w:r>
        <w:rPr>
          <w:b/>
        </w:rPr>
        <w:t>E. 2.1</w:t>
      </w:r>
    </w:p>
    <w:p>
      <w:r>
        <w:t>Dass infolge Rückweisung durch das Bundesgericht ein zweites Berufungs- verfahren durchgeführt werden musste, hat nicht der Beschuldigte zu vertreten. Die Gerichtsgebühr für das zweite Berufungsverfahrens fällt entsprechend ausser Ansatz und die im zweiten Berufungsverfahren angefallenen Kosten der amtlichen Verteidigung sind definitiv auf die Gerichtskasse zu nehmen.</w:t>
      </w:r>
    </w:p>
    <w:p>
      <w:r>
        <w:rPr>
          <w:b/>
        </w:rPr>
        <w:t>E. 2.1.1</w:t>
      </w:r>
    </w:p>
    <w:p>
      <w:r>
        <w:t>Tatkomponente Die Vorinstanz führte zur Tatkomponente der mehrfachen Erschleichung einer Falschbeurkundung aus, der Beschuldigte habe die Taten geplant und in dreister Irreführung der Urkundspersonen vorsätzlich durchgeführt. Er habe von Beginn weg im Sinn gehabt, das Stammkapital umgehend nach der Gründung aus der GmbH zu entnehmen und somit potentiellen Gläubigern jegliche Haftungsbasis zu entziehen. Allerdings sei er dabei nicht besonders raffiniert vorgegangen, weshalb insgesamt von einem noch leichten Verschulden auszugehen sei (Urk. 54 S. 28 f.). Dem ist beizupflichten.</w:t>
      </w:r>
    </w:p>
    <w:p>
      <w:r>
        <w:t>- 10 -</w:t>
      </w:r>
    </w:p>
    <w:p>
      <w:r>
        <w:rPr>
          <w:b/>
        </w:rPr>
        <w:t>E. 2.1.2</w:t>
      </w:r>
    </w:p>
    <w:p>
      <w:r>
        <w:t>Strafmass Die von der Vorinstanz für beide Falschbeurkundungen angesetzte Einsatzstrafe von 165 Tagessätzen ist dieser Einschätzung angemessen. Zum gleichen Ergeb- nis käme man, wenn man pro erschlichener Falschbeurkundung eine Einzelein- satzstrafe von 105 Tagessätze veranschlagen und diese Strafen sodann asperie- ren würde.</w:t>
      </w:r>
    </w:p>
    <w:p>
      <w:r>
        <w:rPr>
          <w:b/>
        </w:rPr>
        <w:t>E. 2.2</w:t>
      </w:r>
    </w:p>
    <w:p>
      <w:r>
        <w:t>Die gemäss eingereichter Honorarnote der amtlichen Verteidigung für das zweite Berufungsverfahren geltend gemachten Aufwendungen und Barauslagen in der Höhe von insgesamt Fr. 4'642.60 (inklusive Mehrwertsteuer) sind ausge- wiesen (Urk. 102). Zusätzlich sind der Verteidigung die darin noch nicht berück- sichtigten Aufwendungen im Zusammenhang mit der Nachbesprechung des vor- liegenden Entscheids zuzüglich Mehrwertsteuer zu vergüten. Es erscheint daher angemessen, die Verteidigung für das vorliegende Berufungsverfahren mit Fr. 4'880.– (inklusive Mehrwertsteuer) zu entschädigen. Es wird beschlossen:</w:t>
      </w:r>
    </w:p>
    <w:p>
      <w:r>
        <w:rPr>
          <w:b/>
        </w:rPr>
        <w:t>E. 2.2.1</w:t>
      </w:r>
    </w:p>
    <w:p>
      <w:r>
        <w:t>Tatkomponente Zur objektiven Tatschwere ist festzuhalten, dass der Beschuldigte der Sozialbe- hörde im Jahr 2017 Zahlungseingänge im Gesamtbetrag von Fr. 26'507.80 ver- schwiegen hat und deshalb Leistungen von knapp Fr. 14'000.– erhältlichmachen konnte, die ihm bei ordentlicher Deklaration nicht zugestanden hätten. Dabei ging er zwar nicht besonders raffiniert vor, was für das Unterlassen einer geschuldeten Meldung aber auch nicht nötig ist. Gleichwohl ist sein Verhalten als scham- bzw. verantwortungslos zu werten, hat er doch einerseits gegenüber der Gemeinde Bedürftigkeit geltend gemacht und anderseits private Mittel in nicht unbedeuten- der Höhe für private Zwecke verbraucht, im Bewusstsein darum, dass dies der Behörde kaum bekanntwerden dürfte, da die Zahlungen auf ein bis dahin gegen- über dem Sozialamt nicht deklariertes Konto gingen. Insgesamt liegt, primär auf- grund des Deliktsbetrages, gleichwohl noch ein recht leichtes Verschulden vor. Subjektiv ist vorsätzliches Verhalten gegeben, was die objektive Tatschwere nicht zu relativieren vermag.</w:t>
      </w:r>
    </w:p>
    <w:p>
      <w:r>
        <w:rPr>
          <w:b/>
        </w:rPr>
        <w:t>E. 2.2.2</w:t>
      </w:r>
    </w:p>
    <w:p>
      <w:r>
        <w:t>Strafmass Isoliert betrachtet und mit Blick auf den eher engen Strafrahmen, welcher von Geldstrafe bis zu 1 Jahr Freiheitsstrafe reicht (Art. 148a StGB), wäre der Be- schuldigte für den unrechtmässigen Sozialhilfebezug mit 90-120 Tagessätzen zu bestrafen.</w:t>
      </w:r>
    </w:p>
    <w:p>
      <w:r>
        <w:t>- 11 -</w:t>
      </w:r>
    </w:p>
    <w:p>
      <w:r>
        <w:rPr>
          <w:b/>
        </w:rPr>
        <w:t>E. 2.3</w:t>
      </w:r>
    </w:p>
    <w:p>
      <w:r>
        <w:t>Hausfriedensbruch</w:t>
      </w:r>
    </w:p>
    <w:p>
      <w:r>
        <w:rPr>
          <w:b/>
        </w:rPr>
        <w:t>E. 2.3.1</w:t>
      </w:r>
    </w:p>
    <w:p>
      <w:r>
        <w:t>Tatkomponente Zur objektiven Tatschwere hinsichtlich des vom Beschuldigten begangenen Haus- friedensbruchs ist festzuhalten, dass er trotz Kenntnis des Hausverbots das B._____ [Einkaufszentrum] besuchte. Allerdings scheint das Rechtsgut des Haus- rechts, mithin ein Element der Privatsphäre (vgl. BGE 118 IV 49), durch die kurze Anwesenheit des Beschuldigten im Einkaufszentrum mit der Vorinstanz nicht stark verletzt, weshalb im Spektrum aller möglichen Hausfriedensbrüche seine Tat an der unteren Grenze anzusiedeln ist. Die objektive Tatschwere ist daher als leicht einzustufen. Bei der subjektiven Tatschwere ist direktvorsätzliches Handeln zu berücksichtigen, weshalb das subjektive Verschulden das objektive nicht zu re- lativieren vermag.</w:t>
      </w:r>
    </w:p>
    <w:p>
      <w:r>
        <w:rPr>
          <w:b/>
        </w:rPr>
        <w:t>E. 2.3.2</w:t>
      </w:r>
    </w:p>
    <w:p>
      <w:r>
        <w:t>Strafart Hausfriedensbruch wird mit Freiheitsstrafe bis zu 3 Jahren oder Geldstrafe be- straft (Art. 186 StGB). Das dem Verschulden des Beschuldigten angemessene Strafmass liegt in einem Bereich, in dem sowohl eine Geld- als auch eine Frei- heitsstrafe möglich wäre.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gewählt werden, die weniger stark in die per- sönliche Freiheit der Betroffenen eingreift bzw. die sie am wenigsten hart trifft (BGE 138 IV 120 E. 5.2; BGE 134 IV 97 E. 4.2.2; BGE 134 IV 82 E. 4.1). In Bezug auf Vergehen und Verbrechen im unteren Bereich, die grundsätzlich mit Geldstra- fen bis zu 180 Tagessätzen zu ahnden sind, regelt Art. 41 StGB, unter welchen Voraussetzungen (bedingte und unbedingte) Freiheitsstrafen in Betracht kommen (HEIMGARTNER, OFK-StGB, 21. Aufl. 2022, N 1 zu Art. 41 StGB). Entsprechend dem Verhältnismässigkeitsprinzip ist auch in Art. 41 Abs. 1 StGB vorgesehen, dass das Gericht dann auf eine Freiheitsstrafe statt auf eine Geldstrafe erkennen kann, wenn eine solche geboten erscheint, um den Täter von der Begehung wei-</w:t>
      </w:r>
    </w:p>
    <w:p>
      <w:r>
        <w:t>- 12 - terer Verbrechen oder Vergehen abzuhalten (lit. a) oder eine Geldstrafe voraus- sichtlich nicht vollzogen werden kann (lit. b). Es hat die Wahl der Freiheitsstrafe näher zu begründen (Art. 41 Abs. 2 StGB). Zunächst ist darauf hinzuweisen, dass es sich bei den Vorstrafen des Beschuldig- ten zwar nicht um einschlägige Verurteilungen wegen Hausfriedensbruchs han- delt, ihnen jedoch gemein ist, dass er bei der Deliktsbegehung selbstherrlich für sich in Anspruch nahm, Vorschriften nicht oder nur begrenzt zu befolgen (vgl. den Strafbefehl vom 27. Januar 2015: unflätige Beschimpfung eines Verkehrsdienst- ausbildners, welcher den Beschuldigten auf dessen fehlende Berechtigung, auf einem Behindertenparkfeld zu parkieren, hinwies sowie Nichtbefolgen eines An- haltegebotes eines Polizeibeamten während einer Kontrolle [Urk. 16/3]; dann auch der Strafbefehl vom 28. Dezember 2015: Drohung mit angeblich mitgeführ- ter Waffe gegenüber der Angestellten des Sozialamtes, um die Auszahlung von Sozialhilfe zu beschleunigen [Urk. 16/4]). Diese Grundeinstellung findet sich auch beim vom Beschuldigten begangenen Hausfriedensbruch, weshalb die Vorstrafen durchaus als im weiteren Sinn einschlägig zu qualifizieren sind. Ausserdem liess er sich durch die in der Vergangenheit – allesamt unbedingt – ausgesprochenen Geldstrafen nicht davon abhalten, das vorliegend zu beurteilende Delikt zu bege- hen. Insbesondere vermochten ihn auch die laufende Strafuntersuchung und die zwei Tage Untersuchungshaft nicht genügend zu beeindrucken, beging er den Hausfriedensbruch doch lediglich kurz nachdem er wieder auf freien Fuss gesetzt wurde. Vor diesem Hintergrund kann nicht mehr davon ausgegangen werden, dass die Ausfällung einer weiteren Geldstrafe den Beschuldigten von weiterer De- linquenz abzuhalten vermögen würde. Entsprechend erscheint es im Sinne von Art. 41 Abs. 1 lit. a StGB geboten, hinsichtlich des Hausfriedensbruchs auf eine Freiheitsstrafe zu erkennen.</w:t>
      </w:r>
    </w:p>
    <w:p>
      <w:r>
        <w:rPr>
          <w:b/>
        </w:rPr>
        <w:t>E. 2.3.3</w:t>
      </w:r>
    </w:p>
    <w:p>
      <w:r>
        <w:t>Strafmass Nach dem Erwogenen ist für den Hausfriedensbruch die hypothetische Einsatz- strafe auf 30 Tage Freiheitsstrafe festzusetzen. Die Freiheitsstrafe ist somit kumu- lativ zur Gesamtgeldstrafe zu verhängen.</w:t>
      </w:r>
    </w:p>
    <w:p>
      <w:r>
        <w:t>- 13 -</w:t>
      </w:r>
    </w:p>
    <w:p>
      <w:r>
        <w:rPr>
          <w:b/>
        </w:rPr>
        <w:t>E. 2.4</w:t>
      </w:r>
    </w:p>
    <w:p>
      <w:r>
        <w:t>Gesamtstrafenbildung Geldstrafen Für die mehrfache Erschleichung einer falschen Beurkundung und den unrecht- mässigen Bezug von Leistungen der Sozialhilfe, welche mit einer Geldstrafe zu ahnden sind, ist eine Gesamtstrafe zu bilden. Ausgangspunkt bildet die Einsatz- strafe von 165 Tagessätzen für die Falschbeurkundungen. Diese ist unter Be- rücksichtigung des Asperationsprinzips aufgrund der zusätzlichen Einzelstrafe für den unrechtmässigen Sozialhilfebezug von 90-120 Tagessätzen um 60 Tagessätze auf 225 Tagessätze zu erhöhen.</w:t>
      </w:r>
    </w:p>
    <w:p>
      <w:r>
        <w:rPr>
          <w:b/>
        </w:rPr>
        <w:t>E. 2.5</w:t>
      </w:r>
    </w:p>
    <w:p>
      <w:r>
        <w:t>Täterkomponente</w:t>
      </w:r>
    </w:p>
    <w:p>
      <w:r>
        <w:rPr>
          <w:b/>
        </w:rPr>
        <w:t>E. 2.5.1</w:t>
      </w:r>
    </w:p>
    <w:p>
      <w:r>
        <w:t>Was die persönlichen Verhältnisse des Beschuldigten angeht, kann zu- nächst auf die Erwägungen im angefochtenen Urteil verwiesen werden (Urk. 54 S. 29 f.). Ergänzend zu seinen bisherigen Angaben führte er anlässlich der Beru- fungsverhandlung vom 26. Januar 2021 aus, noch nicht von seiner Ehefrau ge- schieden zu sein. Hingegen bestehe ein Eheschutzentscheid, gemäss welchem er und seine Ehefrau die gemeinsame elterliche Sorge für die Kinder hätten. Die Kinder wohnten bei der Mutter. Er sehe die Kinder in geraden Wochen donners- tags bis sonntags und in ungeraden Wochen über das Wochenende. Zu den Kin- dern habe er ein sehr gutes Verhältnis und dasjenige zu seiner Ehefrau habe sich entspannt. Zudem habe er seit Oktober des letzten Jahres eine Freundin (Urk. 79 S. 16 f., S. 27). Vor seiner Verhaftung sei er im Hundehandel tätig gewesen. Er habe damit – während ca. vier Monaten – zwischen Fr. 15'000.– und Fr. 20'000.– verdient. Im Oktober 2020 habe er sich dann beim Sozialamt anmelden müssen (Urk. 79 S. 14 f.). Er habe kein Vermögen. Seine Schulden beliefen sich auf Fr. 30'000.– (Urk. 79 S. 15). Die persönlichen Verhältnisse wirken sich – sowohl in Bezug auf die auszufällende Gesamtgeldstrafe als auch die Freiheitsstrafe – strafzumessungsneutral aus.</w:t>
      </w:r>
    </w:p>
    <w:p>
      <w:r>
        <w:rPr>
          <w:b/>
        </w:rPr>
        <w:t>E. 2.5.2</w:t>
      </w:r>
    </w:p>
    <w:p>
      <w:r>
        <w:t>Hinsichtlich der Vorstrafen ist darauf hinzuweisen, dass die Strafe vom 25. November 2010 (vgl. Urk. 56 [Strafregisterauszug vom 13. März 2020]) mitt- lerweile gelöscht wurde und damit nicht mehr zulasten des Beschuldigten in die Strafzumessung miteinbezogen werden darf (Art. 396 StGB). Sodann handelt es</w:t>
      </w:r>
    </w:p>
    <w:p>
      <w:r>
        <w:t>- 14 - sich beim Urteil des Einzelrichters des Bezirks Dietikon vom 5. Dezember 2018 nicht um eine Vorstrafe im eigentlichen Sinn, da dieser Entscheid erst nach den vorliegend zu beurteilenden Straftaten ergangen ist und damit keine Warnwirkung entfalten konnte. Was die übrigen Vorstrafen angeht, so ist ihnen, wie bereits un- ter Erw. 2.3.2 dargelegt wurde, gemein, dass ihnen dieselbe Grundeinstellung des Beschuldigten zugrunde liegt. Namentlich nahm der Beschuldigte bei der Delikts- begehung selbstherrlich für sich in Anspruch, Vorschriften nicht oder nur begrenzt zu befolgen. Insofern können die Vorstrafen als im weiteren Sinn einschlägig qua- lifiziert werden und rechtfertigen bei der Bemessung der Gesamtgeldstrafe eine merkliche Straferhöhung. Auch in Bezug auf die für den Hausfriedensbruch zu bemessende Freiheitsstrafe fallen die Vorstrafen des Beschuldigten straferhö- hend ins Gewicht. Im Besonderen fällt zudem deutlich zu seinen Ungunsten aus, dass er dieses Delikt während laufender Strafuntersuchung und kurz nachdem er zwei Tage in Untersuchungshaft verbracht hatte, begangen hat, was von gehöri- ger Renitenz zeugt.</w:t>
      </w:r>
    </w:p>
    <w:p>
      <w:r>
        <w:rPr>
          <w:b/>
        </w:rPr>
        <w:t>E. 2.5.3</w:t>
      </w:r>
    </w:p>
    <w:p>
      <w:r>
        <w:t>Deutlich strafmindernd zu berücksichtigen ist demgegenüber sowohl bei der Bemessung der Gesamtgeldstrafe als auch bei derjenigen der Freiheitsstrafe die lange Verfahrensdauer. Die Zugaben des Beschuldigten betreffend den äusseren Sachverhalt fallen dagegen nur in geringem Mass strafmindernd aus. In Bezug auf den Hausfriedensbruch ist insbesondere zu berücksichtigen, dass dem Beschuldigten angesichts der erdrückenden Beweislage auch nichts anderes üb- rig blieb, als die Tat zuzugeben.</w:t>
      </w:r>
    </w:p>
    <w:p>
      <w:r>
        <w:rPr>
          <w:b/>
        </w:rPr>
        <w:t>E. 2.5.4</w:t>
      </w:r>
    </w:p>
    <w:p>
      <w:r>
        <w:t>Insgesamt halten sich die Straferhöhungs- und die Strafminderungsgrün- de sowohl bei der Bemessung der Gesamtgeldstrafe als auch bei derjenigen der Freiheitsstrafe die Waage, weshalb der Beschuldigte für die mehrfache Erschlei- chung einer falschen Beurkundung sowie für den unrechtmässigen Bezug von Leistungen der Sozialhilfe mit 225 Tagessätzen Geldstrafe und für den Hausfrie- densbruch mit 30 Tage Freiheitsstrafe zu bestrafen ist.</w:t>
      </w:r>
    </w:p>
    <w:p>
      <w:r>
        <w:t>- 15 -</w:t>
      </w:r>
    </w:p>
    <w:p>
      <w:r>
        <w:rPr>
          <w:b/>
        </w:rPr>
        <w:t>E. 2.6</w:t>
      </w:r>
    </w:p>
    <w:p>
      <w:r>
        <w:t>Asperation um die Grundstrafe (Urteil des Bezirksgerichts Dietikon vom 5. Dezember 2018) Da für die mehrfache Erschleichung einer falschen Beurkundung sowie für den unrechtmässigen Bezug von Leistungen der Sozialhilfe ebenfalls eine Geldstrafe auszusprechen ist, ist eine Zusatzstrafe zur mit Urteil des Bezirksgerichts Dietikon vom 5. Dezember 2018 ausgefällten Geldstrafe auszusprechen. Den vorstehend dargelegten Grundsätzen der Gesamtstrafenbildung bei retrospektiver Konkur- renz folgend (vgl. Erw. 1.4.1-1.4.3), ist daher von der Einsatzstrafe von 225 Tagessätzen auszugehen, welche für die neu zu beurteilenden Delikte, die mit einer Gesamtgeldstrafe sanktioniert werden, festgelegt wurde. Diese ist für die unrechtmässige Verwendung von Vermögenswerten mittels Asperation angemes- sen um 80 Tagessätze zu erhöhen. Die Reduktion der Grundstrafe um 40 Tagessätze ist von den 225 Tagessätzen abzuziehen. Es resultiert eine Zu- satzstrafe von 185 Tagessätzen Geldstrafe.</w:t>
      </w:r>
    </w:p>
    <w:p>
      <w:r>
        <w:rPr>
          <w:b/>
        </w:rPr>
        <w:t>E. 2.7</w:t>
      </w:r>
    </w:p>
    <w:p>
      <w:r>
        <w:t>Tagessatzhöhe</w:t>
      </w:r>
    </w:p>
    <w:p>
      <w:r>
        <w:rPr>
          <w:b/>
        </w:rPr>
        <w:t>E. 2.7.1</w:t>
      </w:r>
    </w:p>
    <w:p>
      <w:r>
        <w:t>Die Höhe des Tagessatzes ist gemäss Art. 34 Abs. 2 StGB nach den per- sönlichen und wirtschaftlichen Verhältnissen des Täters im Zeitpunkt des Urteils zu bemessen, insbesondere nach Einkommen und Vermögen, Lebensaufwand, allfälligen Familien- und Unterstützungspflichten sowie nach dem Existenzmini- mum. Ein Tagessatz beträgt in der Regel mindestens Fr. 30.– und höchstens Fr. 3'000.–.</w:t>
      </w:r>
    </w:p>
    <w:p>
      <w:r>
        <w:rPr>
          <w:b/>
        </w:rPr>
        <w:t>E. 2.7.2</w:t>
      </w:r>
    </w:p>
    <w:p>
      <w:r>
        <w:t>Für die Bestimmung der Tagessatzhöhe ist zu berücksichtigen, dass der Beschuldigte in bescheidenen finanziellen Verhältnissen lebt (vgl. dazu vorste- hend, Erw. 2.5.1). Den übereinstimmenden Anträgen der Staatsanwaltschaft und der Verteidigung entsprechend (Urk. 97 S. 2; Urk. 101 S. 8) ist die Tagessatzhöhe auf Fr. 30.– festzusetzen. 3. Fazit Der Beschuldigte ist somit mit einer Freiheitsstrafe von 30 Tagen und mit einer Geldstrafe von 185 Tagessätzen zu Fr. 30.– als Zusatzstrafe zum Urteil des Be-</w:t>
      </w:r>
    </w:p>
    <w:p>
      <w:r>
        <w:t>- 16 - zirksgerichts Dietikon vom 5. Dezember 2018 zu bestrafen. An die Freiheitsstrafe sind gestützt auf Art. 51 StGB zwei Tage erstandene Haft anzurechnen (vgl. Urk. 9/1; Urk. 9/4). III. Vollzug 1. Vorbemerkungen</w:t>
      </w:r>
    </w:p>
    <w:p>
      <w:r>
        <w:rPr>
          <w:b/>
        </w:rPr>
        <w:t>E. 6</w:t>
      </w:r>
    </w:p>
    <w:p>
      <w:r>
        <w:t>Monaten mit Bezug auf die einzelne Tat hinsichtlich des nach Inkrafttreten des neuen Rechts verübten Hausfriedensbruchs grundsätzlich möglich, sofern die Vo- raussetzungen nach Art. 41 Abs. 1 StGB erfüllt seien (Urk. 92 E. 3.2.2). Dies ist nachfolgend bei der vorzunehmenden Strafzumessung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