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SB220349 vom 13. März 2023</w:t>
      </w:r>
    </w:p>
    <w:p>
      <w:r>
        <w:t>ZH Obergericht, 2023-03-13, DE</w:t>
      </w:r>
    </w:p>
    <w:p>
      <w:r>
        <w:rPr>
          <w:b/>
        </w:rPr>
        <w:t xml:space="preserve">Quelle: </w:t>
      </w:r>
      <w:r>
        <w:t>https://mcp.opencaselaw.ch/entscheid/zh_obergericht_SB220349</w:t>
      </w:r>
    </w:p>
    <w:p>
      <w:r>
        <w:t>FR: ZH_OBERGERICHT SB220349 du 13 mars 2023</w:t>
      </w:r>
    </w:p>
    <w:p>
      <w:r>
        <w:t>IT: ZH_OBERGERICHT SB220349 del 13 marzo 2023</w:t>
      </w:r>
    </w:p>
    <w:p>
      <w:pPr>
        <w:pStyle w:val="Heading2"/>
      </w:pPr>
      <w:r>
        <w:t>Erwägungen</w:t>
      </w:r>
    </w:p>
    <w:p>
      <w:r>
        <w:rPr>
          <w:b/>
        </w:rPr>
        <w:t>E. 1</w:t>
      </w:r>
    </w:p>
    <w:p>
      <w:r>
        <w:t>Zum Prozessverlauf bis zur ersten Berufungsverhandlung wird auf das auf- gehobene Urteil der Kammer vom 28. Juni 2021 verwiesen (Urk. 53 S. 5). Mit dem zitierten Entscheid sprach die Kammer die Beschuldigte anklagegemäss schuldig und bestrafte sie mit einer Freiheitsstrafe von 12 Monaten unter beding- tem Aufschub des Strafvollzugs und Ansetzung einer Probezeit von zwei Jahren. Weiter wurde die Beschuldigte für 5 Jahre des Landes verwiesen und die Aus- schreibung der Landesverweisung im Schengener Informationssystem angeord- net (Urk. 53 S. 14). Betreffend diesen Entscheid hat die Beschuldigte ausdrücklich und einzig die Ziffern 5. und 6. (Anordnung der Landesverweisung und Aus- schreibung der Landesverweisung im Schengener Informationssystem) mit bun- derechtlicher Beschwerde in Strafsachen beim Bundesgericht angefochten (Urk. 63 S. 2 E.C). Das Bundesgericht hat mit Urteil vom 8. Juni 2022 die Beschwerde gutgeheissen, das Urteil der Kammer aufgehoben und die Sache zur neuen Beur- teilung an die Vorinstanz zurückgewiesen (Urk. 63 S. 12 Ziff. 1).</w:t>
      </w:r>
    </w:p>
    <w:p>
      <w:r>
        <w:t>- 5 -</w:t>
      </w:r>
    </w:p>
    <w:p>
      <w:r>
        <w:rPr>
          <w:b/>
        </w:rPr>
        <w:t>E. 2</w:t>
      </w:r>
    </w:p>
    <w:p>
      <w:r>
        <w:t>Am 21. November 2022 wurden die Parteien zur Verhandlung im zweiten Berufungsverfahren vom 13. März 2023 vorgeladen, wobei der Staatsanwalt- schaft das Erscheinen freigestellt wurde (Urk. 72). Am 24. Februar 2023 wurden die Parteien über einen Wechsel in der vorgesehenen Gerichtsbesetzung infor- miert (Urk. 74). Mit Eingabe vom 7. März 2023 reichte die Verteidigerin diverse Unterlagen vorwiegend betreffend den Gesundheitszustand des Ehemannes der Beschuldigten ein (Urk. 75 und 76/1-17).</w:t>
      </w:r>
    </w:p>
    <w:p>
      <w:r>
        <w:rPr>
          <w:b/>
        </w:rPr>
        <w:t>E. 3</w:t>
      </w:r>
    </w:p>
    <w:p>
      <w:r>
        <w:t>Zur heutigen Berufungsverhandlung erschienen die Beschuldigte A._____ in Begleitung ihrer Verteidigerin, Rechtsanwältin MLaw X._____, sowie der Ehe- mann der Beschuldigten B._____ als Zeuge.</w:t>
      </w:r>
    </w:p>
    <w:p>
      <w:r>
        <w:rPr>
          <w:b/>
        </w:rPr>
        <w:t>E. 4</w:t>
      </w:r>
    </w:p>
    <w:p>
      <w:r>
        <w:t>Gemäss Art. 66a Abs. 2 StGB kann ein straffälliger Ausländer auch bei Vorliegen eines Härtefalls des Landes verwiesen werden, wenn die öffentlichen Interessen an der Landesverweisung gegenüber den privaten Interessen des Ausländers am Verbleib in der Schweiz überwiegen.</w:t>
      </w:r>
    </w:p>
    <w:p>
      <w:r>
        <w:rPr>
          <w:b/>
        </w:rPr>
        <w:t>E. 5</w:t>
      </w:r>
    </w:p>
    <w:p>
      <w:r>
        <w:t>Die Vorinstanz hat das Tatverschulden der Beschuldigten als "sehr leicht" taxiert (Urk. 34 S. 14), was die Kammer im aufgehobenen Entscheid unwider- sprochen liess (Urk. 53 S. 9). Die Beschuldigte wurde mit dem gesetzlich minima- len Strafmass sanktioniert (Urk. 53 S. 14; Art. 19 Abs. 2 BetmG). Das Bundesge- richt hat zwar im Rückweisungsentscheid erwogen, es sei nicht massgebend,</w:t>
      </w:r>
    </w:p>
    <w:p>
      <w:r>
        <w:t>- 9 - dass die Beschuldigte nicht mit Drogen gehandelt, sondern das fragliche Me- thamphetamin einzig besessen habe (Urk. 63 S. 3 E.2.3.1.); diese Erwägung nahm jedoch nicht Bezug auf das Verschulden der Beschuldigten und die Schwe- re ihrer Delinquenz, sondern vielmehr auf die Frage, ob die Beschuldigte über- haupt einen schweren Fall eines Betäubungsmitteldelikts gemäss Art. 19 Abs. 2 StGB und somit eine Katalogtat nach Art. 66a Abs. 1 lit. o StGB begangen hat. Die Bejahung einer erheblichen Gefährdung der öffentlichen Sicherheit durch das deliktische Verhalten der Beschuldigten und damit ein überwiegendes öffentliches Interesse an ihrer Wegweisung aus der Schweiz lässt sich daraus nicht ableiten. Der – alleinige – Besitz von 23 Gramm Methamphetamin führt in concreto insge- samt noch nicht dazu, dass ein die privaten Interessen der Beschuldigten an ei- nem Verbleib in der Schweiz überwiegendes öffentliches Interesse anzunehmen wäre: In der Anklage wird der Beschuldigten weder vorgeworfen, sie habe ge- plant, von den Drogen an Drittpersonen abzugeben, geschweige denn diesbezüg- lich irgendwelche Anstalten getroffen zu haben (Urk. 17 S. 2 Absatz 1). Da die Beschuldigte zum Tatzeitpunkt selber Methamphetamin-Konsumentin war (Urk. 47 S. 8 f.; Urk. D1/6 S. 7 Foto 12), ist zu ihren Gunsten und basierend auf dem verbindlichen Anklagesachverhalt nicht davon auszugehen, dass Dritte mit den bei ihr sichergestellten Drogen in Kontakt gekommen wären.</w:t>
      </w:r>
    </w:p>
    <w:p>
      <w:r>
        <w:rPr>
          <w:b/>
        </w:rPr>
        <w:t>E. 6</w:t>
      </w:r>
    </w:p>
    <w:p>
      <w:r>
        <w:t>(…)</w:t>
      </w:r>
    </w:p>
    <w:p>
      <w:r>
        <w:rPr>
          <w:b/>
        </w:rPr>
        <w:t>E. 7</w:t>
      </w:r>
    </w:p>
    <w:p>
      <w:r>
        <w:t>Die mit Verfügung der Staatsanwaltschaft Zürich-Limmat vom 7. Juli 2020 be- schlagnahmte und bei der Bezirksgerichtskasse Zürich lagernde Barschaft von Fr. 13'295.20 wird im Umfang von Fr. 7'295.20 eingezogen und zur teilweisen Deckung der der Beschuldigten aufzuerlegenden Verfahrenskosten verwendet. Der Mehrbetrag von Fr. 6'000.– ist der Beschuldigten nach Eintritt der Vollstreckbarkeit des Entscheids auf erstes Verlangen zu Handen ihres Ehemannes herauszugeben.</w:t>
      </w:r>
    </w:p>
    <w:p>
      <w:r>
        <w:t>- 11 -</w:t>
      </w:r>
    </w:p>
    <w:p>
      <w:r>
        <w:rPr>
          <w:b/>
        </w:rPr>
        <w:t>E. 8</w:t>
      </w:r>
    </w:p>
    <w:p>
      <w:r>
        <w:t>Die erstinstanzliche Kostenauflage und das Entschädigungsdispositiv (Dispositiv- Ziffern 11 und 12) werden bestätigt.</w:t>
      </w:r>
    </w:p>
    <w:p>
      <w:r>
        <w:rPr>
          <w:b/>
        </w:rPr>
        <w:t>E. 9</w:t>
      </w:r>
    </w:p>
    <w:p>
      <w:r>
        <w:t>Die zweitinstanzliche Gerichtsgebühr wird auf Fr. 3'000.– festgesetzt.</w:t>
      </w:r>
    </w:p>
    <w:p>
      <w:r>
        <w:rPr>
          <w:b/>
        </w:rPr>
        <w:t>E. 10</w:t>
      </w:r>
    </w:p>
    <w:p>
      <w:r>
        <w:t>Die Kosten des Berufungsverfahrens werden der Beschuldigten im Umfang von 9/10 auferlegt und im Umfang von 1/10 auf die Gerichtskasse genommen.</w:t>
      </w:r>
    </w:p>
    <w:p>
      <w:r>
        <w:rPr>
          <w:b/>
        </w:rPr>
        <w:t>E. 11</w:t>
      </w:r>
    </w:p>
    <w:p>
      <w:r>
        <w:t>Der Beschuldigten wird eine reduzierte Prozessentschädigung von Fr. 625.– für die anwaltliche Verteidigung im Berufungsverfahren aus der Gerichtskasse zuge- sprochen.</w:t>
      </w:r>
    </w:p>
    <w:p>
      <w:r>
        <w:rPr>
          <w:b/>
        </w:rPr>
        <w:t>E. 12</w:t>
      </w:r>
    </w:p>
    <w:p>
      <w:r>
        <w:t>(Mitteilung)</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