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SB220282 vom 9. Mai 2023</w:t>
      </w:r>
    </w:p>
    <w:p>
      <w:r>
        <w:t>ZH Obergericht, 2023-05-09, DE</w:t>
      </w:r>
    </w:p>
    <w:p>
      <w:r>
        <w:rPr>
          <w:b/>
        </w:rPr>
        <w:t xml:space="preserve">Quelle: </w:t>
      </w:r>
      <w:r>
        <w:t>https://mcp.opencaselaw.ch/entscheid/zh_obergericht_SB220282</w:t>
      </w:r>
    </w:p>
    <w:p>
      <w:r>
        <w:t>FR: ZH_OBERGERICHT SB220282 du 9 mai 2023</w:t>
      </w:r>
    </w:p>
    <w:p>
      <w:r>
        <w:t>IT: ZH_OBERGERICHT SB220282 del 9 maggio 2023</w:t>
      </w:r>
    </w:p>
    <w:p>
      <w:pPr>
        <w:pStyle w:val="Heading2"/>
      </w:pPr>
      <w:r>
        <w:t>Erwägungen</w:t>
      </w:r>
    </w:p>
    <w:p>
      <w:r>
        <w:rPr>
          <w:b/>
        </w:rPr>
        <w:t>E. 1</w:t>
      </w:r>
    </w:p>
    <w:p>
      <w:r>
        <w:t>Verfahrensgang</w:t>
      </w:r>
    </w:p>
    <w:p>
      <w:r>
        <w:rPr>
          <w:b/>
        </w:rPr>
        <w:t>E. 1.1</w:t>
      </w:r>
    </w:p>
    <w:p>
      <w:r>
        <w:t>Die Vorinstanz sprach gestützt auf Art. 66a Abs. 1 lit. o StGB eine Landes- verweisung für die Dauer von 10 Jahren aus (Urk. 66 S. 129-134).</w:t>
      </w:r>
    </w:p>
    <w:p>
      <w:r>
        <w:rPr>
          <w:b/>
        </w:rPr>
        <w:t>E. 1.2</w:t>
      </w:r>
    </w:p>
    <w:p>
      <w:r>
        <w:t>Die Verteidigung beantragt demgegenüber, es sei von der Anordnung einer Landesverweisung abzusehen; eventualiter sei der Beschuldigte für die Dauer von 5 Jahren des Landes zu verweisen (Urk. 96 S. 1).</w:t>
      </w:r>
    </w:p>
    <w:p>
      <w:r>
        <w:rPr>
          <w:b/>
        </w:rPr>
        <w:t>E. 1.3</w:t>
      </w:r>
    </w:p>
    <w:p>
      <w:r>
        <w:t>Anlässlich der Berufungsverhandlung vom 9. Mai 2023 liess der Beschuldig- te einen modifizierte Berufungsantrag stellen (Urk. 96 S. 1; Prot. II S. 6). Aufgrund des engen sachlichen Zusammenhangs wurde die Berufungsverhandlung, wie</w:t>
      </w:r>
    </w:p>
    <w:p>
      <w:r>
        <w:t>- 7 - bereits die vorinstanzliche Hauptverhandlung des Beschuldigten, zusammen mit dem Mitbeschuldigten B._____ durchgeführt (vgl. Prot. II S. 5 ff.).</w:t>
      </w:r>
    </w:p>
    <w:p>
      <w:r>
        <w:rPr>
          <w:b/>
        </w:rPr>
        <w:t>E. 2</w:t>
      </w:r>
    </w:p>
    <w:p>
      <w:r>
        <w:t>Katalogtat einer obligatorischen Landesverweisung</w:t>
      </w:r>
    </w:p>
    <w:p>
      <w:r>
        <w:rPr>
          <w:b/>
        </w:rPr>
        <w:t>E. 2.1</w:t>
      </w:r>
    </w:p>
    <w:p>
      <w:r>
        <w:t>Mit Honorarnote vom 5. Mai 2023 machte Rechtsanwalt X1._____ für das Berufungsverfahren eine Entschädigung in Höhe von Fr. 9'854.– (inkl. Barausla- gen und Mehrwertsteuer) geltend (Urk. 94).</w:t>
      </w:r>
    </w:p>
    <w:p>
      <w:r>
        <w:rPr>
          <w:b/>
        </w:rPr>
        <w:t>E. 2.2</w:t>
      </w:r>
    </w:p>
    <w:p>
      <w:r>
        <w:t>Die Entschädigung der amtlichen Verteidigung richtet sich im Strafverfahren insbesondere nach den §§ 1, 17 und 18 der Anwaltsgebührenverordnung (Anw- GebV). Gemäss § 1 Abs. 2 AnwGebV setzt sich die Entschädigung aus der Gebühr und den notwendigen Auslagen zusammen. Die Grundgebühr ist dabei nach den besonderen Umständen, namentlich nach Art und Umfang der Bemü- hungen und Schwierigkeiten des Falles, zu bemessen (§ 2 Abs. 1 AnwGebV). Entschädigungspflichtig sind all jene Aufwendungen, die in einem kausalen Zu- sammenhang mit der Wahrung der Rechte im Strafverfahren stehen, notwendig und verhältnismässig sind. Nur in diesem Umfang lässt es sich rechtfertigen, die Kosten der Staatskasse aufzuerlegen (BGE 141 I 124 E. 3.1 mit Hinweisen). Nach der bundesgerichtlichen Rechtsprechung ist es zulässig, für das Anwaltshonorar Pauschalen vorzusehen. Honorarpauschalen dienen dabei der gleichmässigen Behandlung und begünstigen eine effiziente Mandatsführung. Bei einer Honorarbemessung nach Pauschalbeträgen werden alle prozessualen Be- mühungen zusammen als einheitliches Ganzes aufgefasst und der effektive Zeit-</w:t>
      </w:r>
    </w:p>
    <w:p>
      <w:r>
        <w:t>- 21 - aufwand lediglich im Rahmen des Tarifansatzes berücksichtigt. Pauschalen nach Rahmentarifen erweisen sich aber als verfassungswidrig, wenn sie auf die kon- kreten Verhältnisse in keiner Weise Rücksicht nehmen und im Einzelfall aus- serhalb jedes vernünftigen Verhältnisses zu den vom Rechtsanwalt geleisteten Diensten stehen (BGE 143 IV 453 E. 2.5.1; BGE 141 I 124 E. 4.3 mit Hinweis).</w:t>
      </w:r>
    </w:p>
    <w:p>
      <w:r>
        <w:rPr>
          <w:b/>
        </w:rPr>
        <w:t>E. 2.3</w:t>
      </w:r>
    </w:p>
    <w:p>
      <w:r>
        <w:t>Unter Berücksichtigung des Umstands, dass lediglich die vorinstanzliche Anordnung der Landesverweisung angefochten wurde sowie mit Blick auf den benötigten Zeitaufwand und die Schwierigkeit des Falles erscheint eine Entschä- digung der amtlichen Verteidigung mit einer Pauschale von Fr. 8'500.– (inkl. MwSt.) als angemessen. Eine höhere Entschädigung erscheint insbesondere im Vergleich zur Entschädigung der amtlichen Verteidigung des Mitbeschuldigten B._____, welche auf Fr. 9'400.– festgesetzt wurde, nicht gerechtfertigt, selbst un- ter Berücksichtigung des Umstands, dass Rechtsanwalt X1._____ erst im Zeit- punkt des Berufungsverfahrens als amtlicher Verteidiger eingesetzt wurde, zumal im Berufungsverfahren des Mitbeschuldigten B._____ nebst über die Anordnung der Landesverweisung sowohl über den Schuld- als auch Strafpunkt zu befinden war und sich dessen amtlicher Verteidiger umfassend mit dem vorinstanzlichen Urteil auseinandersetzen musste. Es wird beschlossen:</w:t>
      </w:r>
    </w:p>
    <w:p>
      <w:r>
        <w:rPr>
          <w:b/>
        </w:rPr>
        <w:t>E. 5</w:t>
      </w:r>
    </w:p>
    <w:p>
      <w:r>
        <w:t>Prüfung nach EMRK</w:t>
      </w:r>
    </w:p>
    <w:p>
      <w:r>
        <w:rPr>
          <w:b/>
        </w:rPr>
        <w:t>E. 5.1</w:t>
      </w:r>
    </w:p>
    <w:p>
      <w:r>
        <w:t>Zu prüfen ist sodann, ob sich die Landesverweisung auch unter dem Blick- winkel von Art. 8 EMRK aufrechterhalten lässt. Der Schutzbereich ist tangiert, wenn eine Ausweisung nahe, echte und tatsächlich gelebte familiäre Beziehun- gen einer in der Schweiz gefestigt anwesenheitsberechtigten Person beeinträch- tigt würden, ohne dass es dieser möglich bzw. zumutbar wäre, ihr Familienleben anderorts zu pflegen. Intakte familiäre Beziehungen zu in der Schweiz niederge-</w:t>
      </w:r>
    </w:p>
    <w:p>
      <w:r>
        <w:t>- 16 - lassenen Familienmitgliedern sind grundsätzlich als erhebliches privates Interesse an einem weiteren Verbleib in der Schweiz zu gewichten (Urteil des Bundesge- richtes 6B_1299/2019 vom 28. Januar 2020 E. 3.4.3). Gemäss der bundesgericht- lichen Rechtsprechung sind nachfolgende Elemente zu berücksichtigen: (1) die Art und Schwere der begangenen Straftat und ob sie als Jugendlicher oder Er- wachsener verübt wurde; (2) die Aufenthaltsdauer des Betroffenen im Land; (3) die seit der Tatbegehung vergangene Zeit und das Verhalten des Ausländers während dieser; (4) die sozialen, kulturellen und familiären Bindungen zum Auf- nahmestaat und zum Herkunftsland; (5) der Gesundheitszustand sowie (6) die mit der aufenthaltsbeendigenden Massnahme verbundene Dauer der Fernhaltung. Keines dieser Elemente ist indessen für sich alleine ausschlaggebend, vielmehr ist eine Interessenabwägung vorzunehmen (Urteil des Bundesgerichtes 6B_1070/2018 vom 14. August 2019 E. 6.3.3; m.w.H.). Das Bundesgericht hat sodann festgehalten, dass unter dem Blickwinkel von Art. 8 EMRK eine lange Anwesenheitsdauer und die damit verbundene normale Integration nicht genügt. Vielmehr seien besonders intensive, über eine normale Integration hinausgehen- de private Beziehungen beruflicher oder gesellschaftlicher Natur notwendig (Urteil des Bundesgerichtes 6B_1299/2019 vom 28. Januar 2020 E. 3.4.2; m.w.H.). An- zufügen ist, dass das Bundesgericht unter dem Blickwinkel von Art. 8 EMRK auch die Heirat mit einer Schweizerin als nicht einer Landesverweisung entgegenste- hend einstuft, hielt es doch in seinem Entscheid fest, der Ehefrau (und den Kin- dern) stehe frei, hierzubleiben und den Kontakt durch Kommunikationsmittel und Besuche aufrechtzuerhalten (Urteil des Bundesgerichtes 6B_1299/2019 vom 28. Januar 2020 E. 3.4.5; m.w.H.).</w:t>
      </w:r>
    </w:p>
    <w:p>
      <w:r>
        <w:rPr>
          <w:b/>
        </w:rPr>
        <w:t>E. 5.2</w:t>
      </w:r>
    </w:p>
    <w:p>
      <w:r>
        <w:t>Hierzu kann vorab auf die vorstehenden Erwägungen zur Frage des Härte- falls und der Güterabwägung verwiesen werden, wobei letztere auch die Frage der Prüfung der Vereinbarkeit der Landesverweisung mit Art. 8 EMRK weitestge- hend beantwortet. Art und Schwere der Straftat, mithin des Verbrechens gegen das Betäubungsmittelgesetz, sprechen klar gegen den Beschuldigten, ebenso die Tatsache, dass er bereits in der Vergangenheit – während seiner kurzen Aufent- haltsdauer in der Schweiz – im Drogenhandel tätig wurde. Demgegenüber spricht einzig seine familiäre Bindung zu seiner Ehefrau und dem gemeinsamen Sohn zu</w:t>
      </w:r>
    </w:p>
    <w:p>
      <w:r>
        <w:t>- 17 - einem gewissen Grade zu Gunsten des Beschuldigten. Wie im Rahmen der Gü- terabwägung dargelegt, können Kontakte zu seiner Ehefrau und dem gemeinsa- men Sohn aber auch im Falle des Vollzugs einer Landesverweisung gelebt wer- den. Betreffend Bindungen des Beschuldigten zu seinem Heimatstaat ist festzu- halten, dass diese insgesamt zweifellos enger sind als zur Schweiz. Mit deren Kultur und Sprache ist der Beschuldigte jedenfalls vertraut. Schliesslich ist auch das Kriterium des Gesundheitszustandes neutral zu bewerten. Die Aussprechung einer Landesverweisung stellt für den Beschuldigten zwar zweifelsohne einen Eingriff von einer gewissen Schwere dar. Im Rahmen einer Gesamtwürdigung ist jedoch festzustellen, dass die persönlichen Interessen des Beschuldigten an ei- nem Verbleib in der Schweiz angesichts der Schwere des Deliktes das öffentliche Interesse an der Aussprechung eines Landesverweises nicht überwiegen und diese demnach mit Art. 8 EMRK vereinbar ist.</w:t>
      </w:r>
    </w:p>
    <w:p>
      <w:r>
        <w:rPr>
          <w:b/>
        </w:rPr>
        <w:t>E. 6</w:t>
      </w:r>
    </w:p>
    <w:p>
      <w:r>
        <w:t>Dauer der Landesverweisung</w:t>
      </w:r>
    </w:p>
    <w:p>
      <w:r>
        <w:rPr>
          <w:b/>
        </w:rPr>
        <w:t>E. 6.1</w:t>
      </w:r>
    </w:p>
    <w:p>
      <w:r>
        <w:t>Art. 66a StGB sieht als Dauer der obligatorischen Landesverweisung einen Rahmen von 5 bis 15 Jahren vor. Die Rechtsfolge einer Landesverweisung ist aufgrund des Verschuldens und der Gefährdung der öffentlichen Sicherheit zu bestimmen. Die Dauer der Landesverweisung muss verhältnismässig sein (vgl. Art. 5 Abs. 2 BV, Art. 36 Abs. 3 BV; Art. 8 Ziff. 2 EMRK). Wie bei der Frage, ob überhaupt eine Landesverweisung auszusprechen ist, ist auch das private Inte- resse des von der Landesverweisung Betroffenen zu berücksichtigen. Bei der Be- stimmung der Dauer der Landesverweisung ist nebst der Schwere der Straftat daher auch den persönlichen Umständen, insbesondere allfälligen familiären Bin- dungen der Person in der Schweiz oder einer aus einer langen Anwesenheit in der Schweiz folgenden Härte, Rechnung zu tragen (Urteil des Bundesgerichtes 6B_1079/2022 vom 8. Februar 2023 E. 9.2.1 mit Hinweisen).</w:t>
      </w:r>
    </w:p>
    <w:p>
      <w:r>
        <w:rPr>
          <w:b/>
        </w:rPr>
        <w:t>E. 6.2</w:t>
      </w:r>
    </w:p>
    <w:p>
      <w:r>
        <w:t>Der Beschuldigte wurde durch die Vorinstanz mit Urteil vom 4. März 2022 in Form des Verbrechens gegen das Betäubungsmittelgesetz im Sinne von Art. 19 Abs. 1 lit. b, c und d BetmG in Verbindung mit Art. 19 Abs. 2 lit. a und b BetmG wegen eines schweren Delikts verurteilt, wobei sein Verschulden von der Vor- instanz auch innerhalb des nach oben sehr weiten Strafrahmens als "mittel-</w:t>
      </w:r>
    </w:p>
    <w:p>
      <w:r>
        <w:t>- 18 - schwer" qualifiziert wurde (Urk. 66 S. 99). Die Vorinstanz erachtete als Einsatz- strafe aufgrund der Tatkomponente eine Freiheitsstrafe von 6 Jahren als ange- messen und reduzierte hernach die Strafe aufgrund des Geständnisses, also der Täterkomponente um ein Jahr auf letztlich 5 Jahre Freiheitsstrafe (Urk. 66 S. 105). Das als "mittelschwer" bezeichnete Verschulden dürfte seitens der Vo- rinstanz bei einer Einsatzstrafe von 6 Jahren Freiheitsstrafe also im untersten Be- reich des mittleren Drittels des Strafrahmens angesiedelt worden sein.</w:t>
      </w:r>
    </w:p>
    <w:p>
      <w:r>
        <w:rPr>
          <w:b/>
        </w:rPr>
        <w:t>E. 6.3</w:t>
      </w:r>
    </w:p>
    <w:p>
      <w:r>
        <w:t>Unterzieht man den Deliktskatalog des Art. 66a Abs. 1 StGB einer genauen Betrachtung, so zeigt sich, dass der Gesetzgeber die mögliche Spannweite der Dauer der Landesverweisung von 5 bis 15 Jahren einerseits auf schwerste Delik- te, wie Mord oder vorsätzliche Tötung (lit. a), andererseits aber unter Umständen selbst auf gewisse Bagatelldelikte im Bereich der Vermögensdelikte, die unter lit. d, e und f der Bestimmung zu subsumieren wären, angewendet haben will. Das Verschulden des Beschuldigten bezüglich seiner Katalogtat ist mithin auch bei dieser Betrachtung im etwa mittleren Bereich anzusiedeln. Macht man einen Quervergleich zum Mitbeschuldigten B._____, der vor Vorinstanz (und auch beru- fungshalber) ebenso mit einer Landesverweisung von 10 Jahren belegt wird, so liegt dessen Freiheitsstrafe mit 7 Jahren zwar etwas höher, als diejenige des Be- schuldigten. Die Differenz bei der Freiheitsstrafe bzw. dem dazu führenden Ver- schulden ist aber keineswegs derart gross, dass sich dies auch bei der Dauer der Landesverweisung zwingend niederschlagen müsste.</w:t>
      </w:r>
    </w:p>
    <w:p>
      <w:r>
        <w:rPr>
          <w:b/>
        </w:rPr>
        <w:t>E. 6.4</w:t>
      </w:r>
    </w:p>
    <w:p>
      <w:r>
        <w:t>So ist beim Beschuldigten auch zu berücksichtigen, dass er im Tatzeitraum seit dem 7. August 2017 ein Einreiseverbot für das schweizerische und liechten- steinische Gebiet hatte, dem er zuwiderhandelte. Dementsprechend wurde er von der Vorinstanz auch wegen Widerhandlung gegen das AIG verurteilt, so dass sein Leumund insbesondere auch im ausländerrechtlichen Bereich getrübt ist, was tendenziell für eine längere Dauer der Landesverweisung spricht. Ausserdem hat sich der Beschuldigte neben der Anlasstat für die Anordnung einer obligatori- schen Landesverweisung und der Widerhandlung gegen das AIG weiterer Delikte, mithin der mehrfachen Pornografie und mehrfachen Gewaltdarstellung, strafbar gemacht hat. Erheblich zu seinen Ungunsten fallen sodann seine in der Vergan-</w:t>
      </w:r>
    </w:p>
    <w:p>
      <w:r>
        <w:t>- 19 - genheit erwirkten einschlägigen Vorstrafen sowohl im Betäubungsmittelhandel als auch im ausländerrechtlichen Bereich aus (Urk. 69). Dabei ist in Bezug auf das vom Beschuldigten begangene Verbrechen gegen das Betäubungsmittelgesetz, für welches er von der Vorinstanz rechtskräftig schuldig gesprochen wurde, zu be- rücksichtigen, dass es sich dabei nicht um einen einmaligen Vorfall handelte, sondern er über einen langen Zeitraum im Drogenhandel tätig war. Hervorzuhe- ben ist zudem, dass ihn die in der Vergangenheit erstandene Untersuchungshaft offensichtlich nicht nachhaltig beeindruckte, weshalb auch das vorliegende Straf- verfahren und der Strafvollzug kein Garant dafür sind, dass er künftig nicht wieder im Betäubungsmittelmilieu tätig wird. Dem Vollzugsbericht vom 4. April 2023 ist lediglich zu entnehmen, dass bei einem einschlägigen Rückfall keine hochwerti- gen Rechtsgüter wie Leib und Leben oder sexuelle Integrität betroffen wären (Urk. 89 S. 6). Somit spricht auch die vom Beschuldigten ausgehende Gefahr für weitere Straftaten, insbesondere im Betäubungsmittelbereich, für eine längere Dauer der Landesverweisung.</w:t>
      </w:r>
    </w:p>
    <w:p>
      <w:r>
        <w:rPr>
          <w:b/>
        </w:rPr>
        <w:t>E. 6.5</w:t>
      </w:r>
    </w:p>
    <w:p>
      <w:r>
        <w:t>Bezüglich der persönlichen Bindung des Beschuldigten zur Schweiz ist zu berücksichtigen, dass, wie bereits festgehalten wurde, ein geringes Mass an In- tegration in der Schweiz gegeben ist. Zu beachten ist zudem, dass die Vorinstanz, obschon der Beschuldigte ausschliesslich Staatsangehöriger der C._____ ist und in E._____ gemäss eigenen Angaben lediglich ein Aufenthaltsrecht habe, auf eine Ausschreibung der anzuordnenden Landesverweisung im Schengener Informati- onssystem (SIS) verzichtet hat (Urk. 66 S. 113 und S. 121). Dem Beschuldigten ist es somit auch möglich, ins grenznahe Ausland zu reisen, um seine Ehefrau und das gemeinsame Kind zu treffen. Zudem sind mittels moderner elektronischer Kommunikationsmöglichkeiten Unterhaltungen in Wort und Bild auch auf grosse Distanz problemlos möglich. Die mit der Landesverweisung verbundene Härte ist für den Beschuldigten vor diesem Hintergrund daher weniger gross.</w:t>
      </w:r>
    </w:p>
    <w:p>
      <w:r>
        <w:rPr>
          <w:b/>
        </w:rPr>
        <w:t>E. 6.6</w:t>
      </w:r>
    </w:p>
    <w:p>
      <w:r>
        <w:t>In Würdigung aller Umstände erscheint die von der Vorinstanz ausgespro- chene Dauer der Landesverweisung von 10 Jahren (Urk. 66 S. 113) auch unter Berücksichtigung der im Berufungsverfahren neu geltend gemachten Gesichts-</w:t>
      </w:r>
    </w:p>
    <w:p>
      <w:r>
        <w:t>- 20 - punkte nicht unangemessen. Der Beschuldigte ist daher gestützt auf Art. 66a Abs. 1 lit. o StGB für die Dauer von 10 Jahren des Landes zu verweisen. III. Kosten 1. Die Gerichtsgebühr für das Berufungsverfahren ist auf Fr. 1'500.– zu veran- schlagen. Im Berufungsverfahren werden die Kosten nach Obsiegen und Unter- liegen auferlegt (Art. 428 Abs. 1 Satz 1 StPO). Der Beschuldigte unterliegt mit seiner Berufung vollständig. Die Kosten des Berufungsverfahrens, mit Ausnahme derjenigen der amtlichen Verteidigung, sind daher dem Beschuldigten aufzuerle- gen. Die Kosten der amtlichen Verteidigung sind auf die Gerichtskasse zu neh- men, wobei die Rückzahlungspflicht des Beschuldigten gemäss Art. 135 Abs. 4 StPO vorbehalten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