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SB220250 vom 24. Februar 2023</w:t>
      </w:r>
    </w:p>
    <w:p>
      <w:r>
        <w:t>ZH Obergericht, 2023-02-24, DE</w:t>
      </w:r>
    </w:p>
    <w:p>
      <w:r>
        <w:rPr>
          <w:b/>
        </w:rPr>
        <w:t xml:space="preserve">Quelle: </w:t>
      </w:r>
      <w:r>
        <w:t>https://mcp.opencaselaw.ch/entscheid/zh_obergericht_SB220250</w:t>
      </w:r>
    </w:p>
    <w:p>
      <w:r>
        <w:t>FR: ZH_OBERGERICHT SB220250 du 24 février 2023</w:t>
      </w:r>
    </w:p>
    <w:p>
      <w:r>
        <w:t>IT: ZH_OBERGERICHT SB220250 del 24 febbraio 2023</w:t>
      </w:r>
    </w:p>
    <w:p>
      <w:pPr>
        <w:pStyle w:val="Heading2"/>
      </w:pPr>
      <w:r>
        <w:t>Erwägungen</w:t>
      </w:r>
    </w:p>
    <w:p>
      <w:r>
        <w:rPr>
          <w:b/>
        </w:rPr>
        <w:t>E. 1</w:t>
      </w:r>
    </w:p>
    <w:p>
      <w:r>
        <w:t>Der Beschuldigte wurde mit Urteil des Bezirksgerichts Zürich,</w:t>
      </w:r>
    </w:p>
    <w:p>
      <w:r>
        <w:rPr>
          <w:b/>
        </w:rPr>
        <w:t>E. 4</w:t>
      </w:r>
    </w:p>
    <w:p>
      <w:r>
        <w:t>Die Privatklägerschaft obsiegt im Sinne von Art. 433 Abs. 1 lit. a StPO, wenn im Falle der Strafklage die beschuldigte Person schuldig gesprochen wird und/oder wenn im Falle der Zivilklage die Zivilforderung geschützt wird (Urteil des Bundesgerichts 6B_226/2017 vom 10. Juli 2017 E. 4.1; BGE 139 IV 102 E. 4.1 und 4.3). Vor Vorinstanz obsiegte die Privatklägerin teilweise. Einerseits wurde der Beschuldigte bezüglich dreier angeklagter Delikte schuldig gesprochen, anderer- seits wurde er betreffend drei anderen angeklagten Delikten freigesprochen. Hin- sichtlich des beantragten Schadenersatzbegehrens erfolgte ein Nichteintreten, weshalb die Privatklägerin unterlag. Andererseits obsiegte sie betreffend die be- antragte Genugtuung teilweise, da ihr Fr. 300.– von den beantragten Fr. 2'000.– zugesprochen wurden. Die Untersuchung und das erstinstanzliche Verfahren be- traf alle sechs Anklagevorwürfe, weshalb die daraus der Privatklägerin entstande- nen Kosten nicht jedem Delikt einzeln zugeteilt werden können. Insofern ist es auch nicht massgebend, ob der Beschuldigte bezüglich der eher "schwereren" Delikte schuldig oder freigesprochen wurde. Es stand keines der Delikte im Vor- dergrund. Das Gericht hat deshalb eine Einschätzung vorzunehmen, welcher pro- zentuale Anteil des anwaltlichen Aufwandes auf den freigesprochenen Teil entfiel</w:t>
      </w:r>
    </w:p>
    <w:p>
      <w:r>
        <w:t>- 9 - und welcher auf den Schuldspruch. Das Obsiegen und Unterliegen der Privatklä- gerin halten sich in etwa die Waage, weshalb die Reduzierung der Prozessent- schädigung um rund die Hälfte, wie es die Vorinstanz vorgenommen hat, durch- aus angemessen ist. Dem Beschuldigten nur einen Drittel der Anwaltskosten der Privatklägerin aufzuerlegen, wie es die Verteidigung beantragt, rechtfertigt sich hingegen nicht. Die Aufwendungen, für welche die Privatklägerschaft im Sinne von Art. 433 Abs. 1 lit. a StPO vom Beschuldigten entschädigt werden soll, betreffen in erster Linie die Anwaltskosten, soweit diese durch die Beteiligung am Strafverfahren selbst verursacht wurden und für die Wahrung der Interessen der Privatkläger- schaft notwendig waren (Urteil des Bundesgerichts 6B_226/2017 vom 10. Juli 2017 E. 4.1; BGE 139 IV 102 E. 4.1 und 4.3). Wann notwendige Aufwendungen gegeben sind, wird von der Rechtsprechung nicht abschliessend umschrieben. In der Lehre wird die Meinung vertreten, notwendige Aufwendungen lägen insbe- sondere in den folgenden Konstellationen vor: Wenn die Privatklägerschaft we- 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Die Lehre verweist zur näheren Umschreibung der notwendigen Aufwendungen auf das zu Art. 429 StPO Gesagte. Gemäss der Botschaft des Bundesrates soll die beschuldigte Person nur dann Anspruch auf eine Entschädigung für anwaltliche Kosten haben, wenn der Beistand angesichts der tatsächlichen oder der rechtlichen Komplexität not- wendig war und wenn der Arbeitsaufwand und somit das Honorar des Anwalts ge- rechtfertigt waren. Das Bundesgericht stellte zu Art. 429 StPO fest, dass diese beiden in der Botschaft genannten kumulativen Voraussetzungen im Einklang mit der herrschenden Lehre und der Praxis zum früheren Recht stehen und daran festzuhalten ist. Dies hat nicht nur in Bezug auf den Entschädigungsanspruch der beschuldigten Person Geltung, sondern aufgrund der Verweise in der Lehre auch auf denjenigen der Privatklägerschaft (Urteil des Bundesgerichts 6B_226/2017 vom 10. Juli 2017 E. 4.3.1 m.w.H). Beim Entscheid darüber, ob der Privatkläger-</w:t>
      </w:r>
    </w:p>
    <w:p>
      <w:r>
        <w:t>- 10 - schaft eine angemessene Entschädigung für notwendige Aufwendungen zusteht, verfügt der Richter über ein weites Ermessen. So liegt auch die Abwägung, ob ein komplexer Fall vorliegt, im richterlichen Ermessen (Urteil des Bundesgerichts 6B_226/2017 vom 10. Juli 2017 E. 4.3.3). Aus den Akten und der Anklageschrift ergibt sich, dass die Privatklägerin mehrere Vorwürfe gegenüber dem Beschuldigten erhob. Sodann bezogen sich die Vorwürfe der Drohung, der Beschimpfung und des Missbrauchs einer Fern- meldeanlage auf zahlreiche Vorfälle während eines längeren Zeitraums. Schliess- lich erwies sich durch das Verhalten des Beschuldigten nach erfolgter Strafanzei- ge vom 26. Oktober 2020 (Urk. 1) eine Ergänzung der Strafanzeige vom 9. Juni 2021 (Urk. 16/3) als nötig. Auch wenn sich der Beschuldigte bezüglich mehrerer Vorwürfe geständig zeigte, kann der Sachverhalt nicht als von Anfang an klar er- stellt gelten und kann nicht von einem ausschliesslich kooperativen Verhalten des Beschuldigten die Rede sein. Vielmehr verhielt er sich gegenüber der Polizistin C._____ in den Telefonaten vom 15. und 16. Februar 2021 aggressiv und verun- möglichte ein normales Gespräch (Urk. 4). In seiner Einsprache gegen den Straf- befehl vom 16. März 2021 machte er sodann geltend, nie zugegeben zu haben, schuldig zu sein, bestritt den Vorwurf der Drohung, der Sachbeschädigung und des Missbrauchs einer Fernmeldeanlage und erhob Vorwürfe gegenüber der Pri- vatklägerin (Urk. 15). Schliesslich zeigte er sich gegenüber der zuständigen Staatsanwältin in einer E-Mail vom 28. September 2021 und gegenüber der Pro- tokollführerin D._____ im Telefongespräch vom 29. September 2021 sehr aufge- bracht und teilte mit, an einer Schlusseinvernahme nicht interessiert zu sein (Urk. 16/17 und Urk. 16/18). Auch anlässlich der Hauptverhandlung vor Bezirks- gericht zeigte sich der Beschuldigte aufgebracht und laut (Prot. I S. 12 ff.). Zu- sammenfassend liegt angesichts der zahlreichen Vorfälle, die zur Anzeige ge- bracht wurden und unterschiedliche Straftatbestände erfüllten, und dem Verhalten des Beschuldigten in der Strafuntersuchung ein nicht leicht überschaubarer Straffall vor. Aufgrund der Auswirkungen, die das Verhalten des Beschuldigten auf die Privatklägerin hatte – sie fühlte sich eingeschüchtert, verängstigt, ge- stresst und beklagte sich über Herzrasen und Atemnot (Urk. 1 und Urk. 7 S. 6) – und da sich der Beschuldigte auch durch die Strafanzeige nicht davon abhalten</w:t>
      </w:r>
    </w:p>
    <w:p>
      <w:r>
        <w:t>- 11 - liess, der Privatklägerin zu schaden, hatte sie ein erhebliches Interesse an einer gründlichen Untersuchung und gerichtlichen Beurteilung. Unter diesen Umstän- den war der Beizug eines Anwalts für die Wahrung ihrer Interessen gerechtfertigt. Was die Höhe der Prozessentschädigung betrifft, so ist darauf hinzuweisen, dass sich gemäss Verordnung über die Anwaltsgebühren (AnwGebV) die Gebühr im Vorverfahren nach dem notwendigen Zeitaufwand der Vertretung (§ 16 Abs. 1 AnwGebV) bemisst. Für die Führung eines Strafprozesses, einschliesslich Vorbe- reitung des Parteivortrags und Teilnahme an der Hauptverhandlung, beträgt die Grundgebühr vor dem Einzelgericht in der Regel Fr. 600.– bis Fr. 8'000.– (§ 17 Abs. 1 lit. a AnwGebV). Richtet sich die Gebühr nach dem Zeitaufwand, beträgt sie in der Regel Fr. 150.– bis Fr. 350.– pro Stunde (§ 3 AnwGebV). Bei den Auf- wendungen, für welche die Privatklägerschaft vom Beschuldigten entschädigt werden soll, muss es sich um solche handeln, die durch die Beteiligung am Straf- verfahren selbst verursacht wurden. Dabei ist zu berücksichtigen, dass als Partei jede Privatklägerschaft das Recht hat, an den Beweisabnahmen teilzunehmen, zur Sache zu plädieren etc.. Insofern sind die damit verbundenen Aufwendungen, insbesondere auch jene der Rechtsverbeiständung, falls der Beizug eines Rechtsbeistands als gerechtfertigt zu werten ist, zu entschädigen (Zürcher Kom- mentar StPO-Griesser, Art. 433 N 3). Auch zu entschädigen sind wesentliche Ne- benko-sten (notwendige Auslagen) der Verteidigung, wie Kosten für Fotokopien, Telefongespräche, Fahrtspesen etc. (BSK StPO-Wehrenberg/Frank, Art. 433 N 18 i.V.m. Art. 429 N 17). Der Vertreter der Privatklägerin hat seine Aufwendungen mit den eingereich- ten Honorarnoten (Urk. 24A) ausgewiesen und belegt. Die Verteidigung hält ma- ximal 10 Stunden Arbeit für das Vorverfahren für notwendig. Dies entspricht aber nicht dem Zeitaufwand, welcher vom Vertreter der Privatklägerin geltend gemacht wird. Aus seinen Honorarnoten ergeben sich keine Aufwendungen, die nicht durch die Beteiligung am Strafverfahren verursacht oder nicht notwendig gewesen wären. Besprechungen, Telefonate und Korrespondenz mit der Privatklägerin sind zu entschädigen, ebenso Telefonate und Korrespondenz mit der Untersuchungs- behörde. Dass für das Verfassen der Strafanzeige, welche 9 Seiten und Beilagen</w:t>
      </w:r>
    </w:p>
    <w:p>
      <w:r>
        <w:t>- 12 - umfasst (Urk. 1), 6 Stunden und 45 Minuten benötigt wurden, ist angemessen. Der geltend gemachte Aufwand von 2,5 Stunden für die Teilnahme an der Einver- nahme der Privatklägerin vom 26. November 2020 inkl. Weg ist durch das Einver- nahmeprotokoll (Urk. 7) belegt. Dass für das Verfassen der Ergänzung der Straf- anzeige, welche 4 Seiten und Beilagen umfasst (Urk. 16/3), 2,5 Stunden benötigt wurden, ist ebenfalls gerechtfertigt. Der geltend gemachte Aufwand von 3 Stun- den für die Teilnahme an der Einvernahme der Privatklägerin vom 15. September 2021 inkl. Weg und Vorbesprechung ist durch das Einvernahmeprotokoll (Urk. 16/10) belegt. Schliesslich ist ein Aufwand von 2 Stunden und 5 Minuten für das Verfassen der Stellungnahme, welche 4 Seiten umfasst, und im Hinblick auf die Hauptverhandlung dem Bezirksgericht zugestellt wurde, angemessen. Das entsprechende Honorar bewegt sich am unteren Rahmen der Grundgebühr von Fr. 600.– bis Fr. 8'000.–, welche gemäss § 17 Abs. 1 lit. a AnwGebV für die Vor- bereitung des Parteivortrages und die Teilnahme an der Hauptverhandlung zuläs- sig ist. Der Aufwand des Vertreters der Privatklägerin von insgesamt 29 Stunden und 10 Minuten erweist sich als angemessen. Der vom Vertreter der Privatkläge- rin angewandte Stundenansatz von Fr. 350.– bewegt sich im Rahmen von Fr. 150.– bis Fr. 350.– pro Stunde gemäss § 3 AnwGebV. Aufgrund der Bedeu- tung und der Schwierigkeit des Falls erweist sich dieser als angemessen. Zu- sammenfassend ist an der geltend gemachten Prozessentschädigung von Fr. 10'639.15 (inkl. MWST) nichts zu beanstanden. Diese ist jedoch um rund die Hälfte zu reduzieren, da die Privatklägerin vor Vorinstanz teilweise unterlegen ist. Das erstinstanzliche Entschädigungsdispositiv (Ziff. 10), wonach der Beschuldigte zu verpflichten ist, der Privatklägerin B._____ für das gesamte Verfahren eine re- duzierte Prozessentschädigung von Fr. 5'319.– (inkl. MWST) zu bezahlen, ist deshalb zu bestätigen. III. Kosten- und Entschädigungsfolgen im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