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SB220071 vom 28. Oktober 2022</w:t>
      </w:r>
    </w:p>
    <w:p>
      <w:r>
        <w:t>ZH Obergericht, 2022-10-28, DE</w:t>
      </w:r>
    </w:p>
    <w:p>
      <w:r>
        <w:rPr>
          <w:b/>
        </w:rPr>
        <w:t xml:space="preserve">Quelle: </w:t>
      </w:r>
      <w:r>
        <w:t>https://mcp.opencaselaw.ch/entscheid/zh_obergericht_SB220071</w:t>
      </w:r>
    </w:p>
    <w:p>
      <w:r>
        <w:t>FR: ZH_OBERGERICHT SB220071 du 28 octobre 2022</w:t>
      </w:r>
    </w:p>
    <w:p>
      <w:r>
        <w:t>IT: ZH_OBERGERICHT SB220071 del 28 ottobre 2022</w:t>
      </w:r>
    </w:p>
    <w:p>
      <w:pPr>
        <w:pStyle w:val="Heading2"/>
      </w:pPr>
      <w:r>
        <w:t>Erwägungen</w:t>
      </w:r>
    </w:p>
    <w:p>
      <w:r>
        <w:rPr>
          <w:b/>
        </w:rPr>
        <w:t>E. 29</w:t>
      </w:r>
    </w:p>
    <w:p>
      <w:r>
        <w:t>und Art. 16 N 4). Die zugefügte Verletzung ist als einfache Körperverletzung i.S.v. Art. 123 Ziff. 1 StGB zu werten. Daran ändert nichts, dass keine "Fleischwunde" vorliegt, wie im Strafbefehl beschrieben, sondern dass die hiesige Kammer dem ärztlichen Be- richt folgt und von einer ca. 1 cm grossen oberflächlichen Hautabschürfung und ca. 3 cm davon von einer kleinen punktförmigen Hautläsion ausgeht. Auch diese erfüllt den Tatbestand der einfachen Körperverletzung i.S.v. Art. 123 Ziff. 1 Abs. 1 StGB. Entgegen der Ansicht der Verteidigung (Urk. 71 S. 3) liegt kein leichter Fall i.S.v. Art. 123 Ziff. 1 Abs. 2 StGB vor. Auf den Fotos (Urk. 79/1 und 79/2) ist er- sichtlich, dass die Verletzung eine kleine Narbe hinterliess, welche zwar nicht ent- stellend aber auch nicht ganz unauffällig ist. Jedenfalls wird der Privatkläger zeit- lebens an den Vorfall erinnert werden, wenn er seine rechte Hand betrachtet oder sie Dritten zeigt. Ausserdem ist bei der Beantwortung der Frage, ob ein leichter Fall einer Körperverletzung vorliegt, auf die gesamten objektiven und subjektiven Umstände der Tat, nicht bloss auf die objektiven Verletzungsfolgen abzustellen (BGE 127 IV 59 E. 2 a/bb; Urteil des Bundesgerichts 6B_966/2018 vom 10. Janu- ar 2019 E. 3). Dass die Verletzung keine blosse Bagatelle war, zeigt sich auch am</w:t>
      </w:r>
    </w:p>
    <w:p>
      <w:r>
        <w:t>- 22 - Umstand, dass der Privatkläger sich deswegen in ärztliche Behandlung begab und befürchten musste, durch den Biss mit einer Krankheit infiziert worden zu sein. Gemäss dem ärztlichen Bericht konnte er keine Auskunft geben über den Hepatitisstatus der Beschuldigten (Urk. 66). In Würdigung der gesamten Umstän- de liegt kein bloss leichter Fall einer einfachen Körperverletzung vor. Aufgrund der gesamten Situation ist davon auszugehen, dass sich die Beschul- digte in keiner Bedrängnis befand, als sie zubiss. Der Privatkläger wollte nach ei- genen Aussagen das Besuchsrecht betreffend die gemeinsame Tochter J._____ ausüben bzw. durchsetzen. Die Beschuldigte wollte dies verhindern und mit der Tochter fliehen. Dabei konnte sie nach eigenen Angaben nicht klar denken und setzte die Tochter im Auto nicht in den Kindersitz, sondern auf den Vordersitz. Aus der nachfolgenden Kollision mit der Wand wird ersichtlich, wie sehr die Be- schuldigte in Panik war. Sie gefährdete mit ihrem Verhalten (Abfahrt in aufge- brachtem Zustand) die Tochter, was der Privatkläger zunächst durch das Verstel- len der Ausfahrt mit Mülltonnen und hernach mit der Wegnahme der Autoschlüs- sel zu verhindern versuchte. Die Privatklägerin befand sich mithin nicht in einer Notwehrsituation, ging aber irrtümlicherweise davon aus. Gleichwohl sind jedoch keine Umstände zu erkennen, welche es der Beschuldigten selbst in der von ihr irrtümlich angenommenen Situation eines Angriffs durch den Privatkläger verun- möglicht hätten, trotz dieser Aufregung und Bestürzung ihre Abwehr auf ein ver- hältnismässiges Mass zu beschränken und sich dem Angriff ohne Biss zu wider- setzen. Der Privatkläger hat weder die Beschuldigte noch das gemeinsame Kind tätlich angegriffen, sondern ihr lediglich die Wegfahrt verunmöglicht. Die Behaup- tung der Beschuldigten, sie habe gleichwohl den Eindruck eines unmittelbar be- vorstehenden körperlichen Angriffs gehabt (Urk. 17 S. 2), überzeugt nicht. Zudem wies die Vorinstanz zu Recht darauf hin, dass die Beschuldigte den Pri- vatkläger unmittelbar und ohne zu Zögern in die Hand biss (Urk. 48 S. 15). Dies ergibt sich auch aus den eigenen Ausführungen der Beschuldigte in ihrer Ein- sprache vom 4. Juli 2021 (Urk. 17). Das unmittelbare Zufügen einer einfachen Körperverletzung durch einen Handbiss aufgrund der Entwendung eines Fahr- zeugschlüssels – ohne zuvor auch nur die Rückgabe des Schlüssels verbal ge-</w:t>
      </w:r>
    </w:p>
    <w:p>
      <w:r>
        <w:t>- 23 - fordert zu haben – ist unangemessen. Wenn die Beschuldigte erstmals anlässlich der Berufungsverhandlung geltend macht, sie habe den Privatkläger "mehrmals" aufgefordert, die Schlüssel zurückzugeben (Prot. II S. 12), erscheint dies un- glaubhaft und nach Kenntnis der entsprechenden Erwägungen der Vorinstanz nachgeschoben. Vielmehr ist davon auszugehen, dass sie in Panik war, wie sie dies mehrfach schilderte, und dabei nicht mit dem Privatkläger über die Rückgabe der Schlüssel sprach. Aus all diesen Gründen ist die Angemessenheit ihrer Abwehrhandlung auch unter Berücksichtigung des Sachverhalts, den sich die Beschuldigte irrtümlich vorge- stellt hat, zu verneinen und wurde das Notwehrrecht überschritten. Sodann kann das unvermittelte Zubeissen nicht mit der Bejahung einer entschuldbaren Aufre- gung oder Bestürzung zur Straflosigkeit i.S. von Art. 16 Ab. 2 StGB führen. Der Zustand der Beschuldigten hatte nicht die für die Entschuldbarkeit im Sinne von Art. 16 Abs. 2 StGB erforderliche Intensität erreicht. Der auf sie verübte vermeint- liche Angriff bestand in der Wegnahme von Schlüsseln und ihre Reaktion war vom Willen getragen, dieses Eigentum zurück zu erlangen. Ihre physische Integri- tät war nicht bedroht, und der Biss erfolgte auch nicht zu einer Flucht, zumal sie sich ja gerade auf ihren angeblichen Angreifer stürzte. Zusammenfassend erscheint es unverhältnismässig, den vermeintlichen Angreifer in dieser Situation als unmittelbare Reaktion auf das Wegnehmen von Schlüsseln zu beissen und ihn körperlich zu verletzen. Der Irrtum der Beschuldigten über die Zulässigkeit der Abwehrhandlung war ausserdem vermeidbar i.S. v. Art. 21 StGB, denn es waren auch weitere Personen anwesend wie die Zeugin Fieseler, welche sie hätte um Hilfe bitten können, und die Polizei war bereits unterwegs zum Ort des Geschehens. Ein Strafbefreiungsgrund liegt demnach nicht vor. Es liegt ein Putativ-notwehrexzess vor, der im Rahmen der Strafzumessung als Strafmilde- rungsgrund zu berücksichtigen ist. Die Beschuldigte ist daher der einfachen Körperverletzung i.S.v. Art. 123 Ziff. 1 StGB schuldig zu sprechen.</w:t>
      </w:r>
    </w:p>
    <w:p>
      <w:r>
        <w:t>- 24 - 2. Schreiben an die KESB Auch in diesem Punkt hat die Vorinstanz die rechtlichen Grundlagen zur üblen Nachrede i.S.v. Art. 173 StGB unter Hinweis auf Lehre und Rechtsprechung sorg- fältig erörtert und grundsätzlich zutreffend gewürdigt (Urk. 48 S. 17 ff.). Auf diese Erwägungen kann zwecks der Vermeidung von Wiederholungen verwiesen wer- den (Art. 82 Abs. 4 StPO). Die nachfolgenden Erwägungen verstehen sich als Hervorhebungen: Die Beschuldigte schrieb am 5. Januar 2021 der KESB, sie beantrage ein beglei- tetes Besuchsrecht und ein "psychologisches Gutachten, Abklärung". Zur Be- gründung führte sie unter anderem aus, dass der KESB bekannt sei, dass der Privatkläger am Asperger Syndrom leide und daher "keine Vaterrolle" überneh- men könne (Urk. D3/6/4). Die Äusserung, jemand sei psychisch krank, rührt gemäss bundesgerichtlicher Rechtsprechung an sich nicht an die Ehre, weil sie kein moralisches Werturteil gegenüber dem für seine abnormen Reaktionen nicht Verantwortlichen enthält. Der Ehrverletzung macht sich indessen schuldig, wer psychiatrische Fachausdrü- cke nach laienhaftem Sprachgebrauch dazu missbraucht, jemanden als charak- terlich minderwertig hinzustellen und dadurch in seiner persönlichen Ehre herab- zuwürdigen (BGE 96 IV 55, BGE 93 IV 21). Beim Asperger Syndrom handelt es sich um eine Autismus-Spektrum-Störung, bei welchem Betroffene sich schwer tun, mit anderen Menschen zu interagieren, sich in sie hineinzufühlen und Empathie zu zeigen. Dies bedeutet jedoch nicht, dass Betroffene ganz grundsätzlich keine Vaterrolle ausüben könnten. Die Beschuldigte benutzte den Ausdruck im Brief jedoch offenkundig, um den Be- schuldigten als charakterlich minderwertig darzustellen und ihm die Fähigkeit als Vater abzusprechen. Dies ergibt sich auch aus dem übrigen Schreiben, in wel- chem die Beschuldigte ausführte, der Privatkläger sei impulsiv, "Mal nett dann fol- gen wieder böse SMS. […] Instabiles psychisches Verhalten." "Emotional nicht verfügbar" "Verfolgt nur ein Ziel mich zu diskreditieren." (Urk. D3/6/4 S. 2). Die Äusserung betreffend das Asperger Syndrom und die Unfähigkeit, die Vaterrolle</w:t>
      </w:r>
    </w:p>
    <w:p>
      <w:r>
        <w:t>- 25 - einzunehmen, erfolgte damit nicht fachlich, sondern laienhaft, um den Privatkläger zu verunglimpfen. Damit wurde der Privatkläger in seiner persönlichen Ehre her- abgewürdigt, zumal die Beschuldigte nicht geltend macht, der Privatkläger leide tatsächlich am Asperger Syndrom. Soweit die Beschuldigte in der Einvernahme vom 25. Februar 2021 und anlässlich der Berufungsverhandlung geltend machte, der Privatkläger habe ihr selbst ge- sagt, dass er am Asperger Syndrom leide und sie habe auch darüber gelesen (Urk. D2/3 F/A 22 und Prot. II S. 14 f.), erscheint dies unglaubhaft. Auf Antrag der Beschuldigten und des Privatklägers wurde von der KESB ein Abklärungsbericht durch das Regionale Beratungszentrum K._____ in Auftrag gegeben. Im Rahmen der Abklärung einigte sich die Beschuldigte und der Privatkläger auf das gemein- same Sorgerecht und die KESB verfügte am 16. Dezember 2014 die Regelung der Besuche durch den Privatkläger. Die von der Beschuldigten dagegen erhobe- ne Beschwerde wurde mit Entscheid der Verwaltungsrekurskommission des Kan- tons St. Gallen vom 15. Februar 2016 weiter geregelt, wobei dem Privatkläger weiterhin ein Besuchsrecht eingeräumt wurde (in Urk. D1/5/2). Sodann führte die Beschuldigte anlässlich der Verhandlung vor der Verwaltungsrekurskommission Kanton St. Gallen am 15. Februar 2016 selbst aus, dass sie den Eindruck habe, dass es J._____ gut gehe, wenn sie bei ihrem Vater sei (Urk. 17 Anhang S. 2) und der Privatkläger solle J._____ jeden Sonntag zu sich auf Besuch nehmen (a.a.O. S. 4). Unter diesen Umständen erscheint es nachgeschoben, dass die Be- schuldigte im Zeitpunkt des Schreibens von einer echten Krankheit des Privatklä- gers ausgegangen sein will, welche ihm die Vaterrolle verunmögliche. So machte der Privatkläger auch während des Verfahrens gestützt auf die Einvernahmepro- tokolle nie den Eindruck, er könne sich nicht ausdrücken oder es falle ihm schwer, mit anderen Menschen zu interagieren. Die Beschuldigte wusste weiter, dass der Ausdruck ehrenrührig ist. Dies ergibt sich aus ihrem Aussageverhalten. Sie wurde bei der Polizei auf das Schreiben angesprochen und dass deswegen Strafanzeige wegen Ehrverletzung erstattet wurde, worauf sie selbst spontan antwortete: "Meint er das Asperger-Syndrom?" (Urk. D2/3 F/A 21). Die Beschuldigte wusste mithin selbst, dass es sich um eine</w:t>
      </w:r>
    </w:p>
    <w:p>
      <w:r>
        <w:t>- 26 - ehrenrührige Aussage handelte. Ein legitimes Motiv für den Ausdruck ist nicht er- sichtlich. Soweit die Beschuldigte geltend macht, sie habe eine psychiatrische Abklärung des Privatklägers beantragt (Prot. II S. 16), übersieht sie, dass sie der KESB schrieb, dieser sei das Asperger Syndrom des Privatklägers und die dadurch fehlende Möglichkeit, die Vaterrolle einzunehmen, bekannt. Durch die behauptete Kenntnis der Behörde wäre diese gar nicht abzuklären gewesen. Es handelte sich nicht um einen Antrag, sondern um eine Feststellung. Zusammenfassend ist die von der Beschuldigten aufgestellte Behauptung, der Privatkläger habe bekanntlich das Asperger-Syndrom und könne deshalb keine Vaterrolle einnehmen, ehrverletzend. Der von ihr behauptete Gutglaubensbeweis, wonach ihr der Privatkläger von seiner angeblichen Asperger-Erkrankung berich- tet habe, erscheint nachgeschoben und ist als unglaubhaft zu werten. Dafür be- stehen keine Hinweise, zumal die Beschuldigte dies in den Verfahren vor der KESB nicht behauptete. Folglich ist davon auszugehen, dass die Beschuldigte das ehrverletzende Schreiben bewusst und gewollt ehrverletzend an die KESB sandte. Ein Tatsachenbeweis oder Gutglaubensbeweis gelingt ihr nicht. Es liegen sodann – entgegen der Auffassung der Verteidigung (Urk. 58 S. 12 f.) – keine Rechtfertigungsgründe vor. Folglich ist die Beschuldigte der üblen Nachrede i.S.v. Art. 173 Ziff. 1 StGB schuldig zu sprechen. V. Strafzumessung 1. Allgemeines Das anwendbare Recht, die allgemeinen Regeln und Kriterien der Strafzumes- sung sowie der massgebliche Strafrahmen wurden im vorinstanzlichen Urteil un- ter Hinweis auf Rechtsprechung und Lehre zutreffend und umfassend wiederge- geben (Urk. 48 S. 23 ff.), worauf zur Vermeidung unnötiger Wiederholungen ver- wiesen werden kann. 2. Einsatzstrafe: Einfache Körperverletzung Zur objektiven Tatschwere ist zu bemerken, dass die Tat im Rahmen eines seit Jahren andauernden Konflikts zwischen der Beschuldigten und dem Privatkläger</w:t>
      </w:r>
    </w:p>
    <w:p>
      <w:r>
        <w:t>- 27 - erfolgte. Die Ereignisse jenen Tages eskalierten, wobei sowohl der Privatkläger als auch die Beschuldigte das Ihre dazu beitrugen: Der Privatkläger erschien an jenem Samstag, um sein Besuchsrecht betreffend die gemeinsame Tochter J._____ auszuüben, wobei zwischen den Parteien unklar war, welche Zeit verein- bart worden war (vgl. Urk. D1/3/1 S. 2 f., Urk. D1/6/1, Prot. II S. 11 und S. 19 f.). Die Beschuldigte verliess mit J._____ später die an sich sichere Wohnung, um vor dem Privatkläger zu fliehen, wobei sie nicht rational denken konnte und die minderjährige Tochter auf den Vordersitz des Wagens statt in den Kindersitz setz- te. Der Privatkläger versuchte zunächst mit Müllcontainern und später mit der Wegnahme der Schlüssel die Wegfahrt zu verhindern. Weder der Beschuldigten noch der gemeinsamen Tochter drohte jedoch in diesem Moment vom Privatklä- ger ausgehende Gewalt. Vielmehr wollte dieser die Tochter schützen, weil die Beschuldigte in ihrer Panik den Eindruck erweckte, nicht fahrfähig zu sein. Die sich in diesem Zeitpunkt bereits entfernende bzw. auf der Rampe befindliche Be- schuldigte kehrte jedoch wieder um, um dem Privatkläger die Schlüssel gewalt- sam abzunehmen. Ihre Reaktion war nur teilweise verständlich, hätte sie doch auch den Privatkläger verbal auffordern können, ihr die Schlüssel zurückzugeben oder um Hilfe rufen können. Statt dessen versuchte sie ihm nach eigenen Anga- ben wortlos, die Hand aufzureissen und biss ihn in die Hand, als ihr dies nicht ge- lang. Das objektive Tatverschulden ist unter Berücksichtigung der zugefügten Verletzung, welche nicht gravierend erscheint und auch keine längere Behand- lung oder Arbeitsunfähigkeit nach sich zog, innerhalb des Strafrahmens als leicht zu werten. In subjektiver Hinsicht ist davon auszugehen, dass die Beschuldigte irrtümlich von einer unrechtmässigen Wegnahme des Schlüssels ausging. Die Beschuldigte biss den Privatkläger ohne Vorwarnung in die Hand, um die Schlüssel wieder zu er- langen. Ihr Motiv lag einzig in der Zurücknahme der Schlüssel und nicht, wie sie vorbringt, in der damit verbundenen Fluchtmöglichkeit, zumal sie nach dem Er- langen der Schlüssel eben gerade keine Flucht ergriff. Vielmehr war sie zum Pri- vatkläger zurückgekehrt, um ihm die Schlüssel wegzunehmen, obwohl sie nach eigenen Angaben bereits die Rampe der Garage nach oben gelaufen war (Urk. D1/2/1 F/A 9). Gleichwohl ist zu berücksichtigen, dass sich die Ereignisse</w:t>
      </w:r>
    </w:p>
    <w:p>
      <w:r>
        <w:t>- 28 - hochschaukelten. Sodann ist der Putativnotwehrexzess zu ihren Gunsten zu be- rücksichtigen. Ihre Reaktion und die subjektive Tatkomponente sind teilweise nachvollziehbar und strafmindernd zu berücksichtigen. Insgesamt erscheint unter diesen Gesichtspunkten das Verschulden als sehr leicht. Zusammenfassend erscheint eine Einsatzstrafe von 50 Tagessätzen Geldstrafe als dem Verschulden der Beschuldigten für die einfache Körperverletzung in Puta- tiv-notwehrexzess angemessen. Angesichts des sehr leichten Verschuldens und in Beachtung des Grundsatzes "in dubio pro reo" erweist sich die Geldstrafe als die adäquate Strafart. 3. Einzelstrafe: Üble Nachrede Zur objektiven Tatschwere ist festzuhalten, dass die Beschuldigte der KESB Hor- gen ein Schreiben sandte, in welchem sie dem Privatkläger ein "bekanntes" As- perger Syndrom andichtete und dessen Unfähigkeit, eine Vaterrolle zu überneh- men. Die Äusserung erfolgte gegenüber einer Behörde, welche dem Amtsge- heimnis untersteht, weshalb davon auszugehen ist, dass die Äusserung keinem grösseren Kreis bekannt wurde. Zudem wies die Vorinstanz zu Recht darauf hin, dass die KESB vermutlich häufiger rufschädigende Schreiben erhält und die bei der Behörde entstandene Wirkung nicht erheblich gewesen sein dürfte (vgl. Urk. 48 S. 26). Das objektive Tatverschulden ist auch hier gering. Es ist innerhalb des Strafrahmens als leicht zu werten. In subjektiver Hinsicht ist zu berücksichtigen, dass die Beschuldigte vom ehrver- letzenden Charakter ihrer Äusserung wusste und sie trotzdem der Behörde be- kannt geben wollte. Das subjektive Tatverschulden führt zu keiner Veränderung des objektiven Tatverschuldens. Gesamthaft erscheint eine Einzelstrafe von 20 Tagessätzen Geldstrafe dem Ver- schulden der Beschuldigten angemessen. Zur Strafart sei auf das bereits Gesagte verwiesen.</w:t>
      </w:r>
    </w:p>
    <w:p>
      <w:r>
        <w:t>- 29 - 4. Asperation Rein rechnerisch ergeben die Einsatzstrafe und die Einzelstrafe 70 Tages-sätze Geldstrafe. Die Gesamtstrafe ist in Anwendung des Asperationsprinzips (Art. 49 StGB) auf 60 Tagessätze Geldstrafe festzulegen. 5. Täterkomponenten Bezüglich der persönlichen Verhältnisse der Beschuldigten kann auf die Erwä- gungen der Vorinstanz, die erstinstanzliche Befragung und die übrigen Akten verwiesen werden (Urk. 48 S. 27, Prot. I S. 6, Urk. D1/2/3, Urk. D2/3 S. 5 = Urk. D3/3 S. 5). Anlässlich der Berufungsverhandlung ergänzte sie, weiterhin bei der L._____ AG als Direktionsassistentin mit einem Pensum von 60 % zu arbeiten und ledig zu sein. Sie verdiene monatlich Fr. 3'707.75 und erhalte Kinderzulagen von Fr. 200.– sowie Unterhaltsbeiträge in Höhe von Fr. 1'200.–. Ihre 8-jährige Tochter J._____ komme nach den Sommerferien in die 3. Klasse. Ihr Rechtsmittel gegen das unbegleitete Besuchsrecht zum Privatkläger sei weiterhin beim Ober- gericht anhängig (Prot. II S. 6 ff.). Aus den persönlichen Verhältnissen der Beschuldigten lassen sich keine strafzu- messungsrelevanten Faktoren ableiten. Ihre Vorstrafenlosigkeit ist ebenfalls straf- zumessungsneutral zu werten. Das Geständnis der Beschuldigten in objektiver Hinsicht ist entgegen der Vorinstanz jedoch grundsätzlich strafmindernd zu werten. Nachdem sie das Ge- ständnis jedoch widerrief bzw. vor Vorinstanz keine Aussagen mehr machen woll- te, kann der Beschuldigten damit keine eigentliche Einsicht und Reue zugutege- halten werden. Gleichwohl erleichterte das Geständnis die Untersuchung etwas, weshalb es in leichtem Umfang strafmindernd zu berücksichtigen ist. Weitere Straferhöhungs- oder -minderungsgründe sind nicht ersichtlich. Gesamthaft ergibt sich damit aus der Täterkomponente eine Strafminderung um 10 Tagessätze. Demzufolge erweist sich eine Geldstrafe von 50 Tagessätzen als angemessen.</w:t>
      </w:r>
    </w:p>
    <w:p>
      <w:r>
        <w:t>- 30 - 6. Tagessatzhöhe Zur Bestimmung der Tagessatzhöhe ist festzuhalten, dass die Beschuldigte über ein Einkommen von Fr. 3'707.– verfügt (Prot. II S. 5 ff.). Hinzu kommen der drei- zehnte Monatslohn, Unterhaltsbeiträge in Höhe von Fr. 1'200.– sowie Kinderzula- gen in Höhe von Fr. 200.–. Der Mietzins beträgt Fr. 1'551.– und die Krankenkas- senprämien Fr. 236.85.–. Gemäss Datenerfassungsblatt habe sie weder Vermö- gen noch Schulden (vgl. Urk. 54). Die von der Vorinstanz festgesetzte Tagessatz- höhe von Fr. 80.– (Urk. 48 S. 28) erscheint den aktuellen finanziellen Verhältnis- sen der Beschuldigten weiterhin angemessen. 7. Fazit Zusammenfassend erscheint eine Strafe von 50 Tagessätzen Geldstrafe zu Fr. 80.– dem Verschulden der Beschuldigten angemessen. VI. Vollzug Unter Verweis auf die zutreffenden Ausführungen der Vorinstanz (vgl. Urk. 48 S. 28 ff.) und unter Hinweis auf das Verbot der reformatio in peius (Art. 391 Abs. 2 StPO) ist der nicht vorbestraften Beschuldigten der bedingte Vollzug zu gewäh- ren, unter Ansetzung einer Probezeit von 2 Jahren. VII. Zivilklage Die Vorinstanz verwies die Zivilklage des Privatklägers auf den Weg des ordentli- chen Zivilprozesses, was vom Privatkläger nicht angefochten wurde. Die Be- schuldigte stellt einen identischen Antrag (Urk. 58 S. 1 und S. 13). Entsprechend ist die Zivilklage des Privatklägers auf den Zivilweg zu verweisen. VIII. Kosten- und Entschädigungsfolgen Die Kosten des Rechtsmittelverfahrens tragen die Parteien nach Massgabe ihres Obsiegens oder Unterliegens (Art. 428 Abs. 1 StPO). Fällt die Rechtsmittelinstanz selber einen neuen Entscheid, so befindet sie darin auch über die von der Vor- instanz getroffene Kostenregelung (Art. 428 Abs. 3 StPO).</w:t>
      </w:r>
    </w:p>
    <w:p>
      <w:r>
        <w:t>- 31 - Die Beschuldigte beantragt mit der Berufung im Hauptpunkt, von den Vorwürfen freigesprochen zu werden. Ausgangsgemäss unterliegt sie, weshalb das erstin- stanzliche Kostendispositiv (Ziff. 5 und 6) zu bestätigen ist und ihr die Kosten des Berufungsverfahrens aufzuerlegen sind. Die Entschädigungsfrage folgt dem Entscheid über die Kostenauflage. Entspre- chend ist der erbeten verteidigten Beschuldigten keine Prozessentschädigung zu- 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