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SB210579 vom 5. Mai 2022</w:t>
      </w:r>
    </w:p>
    <w:p>
      <w:r>
        <w:t>ZH Obergericht, 2022-05-05, DE</w:t>
      </w:r>
    </w:p>
    <w:p>
      <w:r>
        <w:rPr>
          <w:b/>
        </w:rPr>
        <w:t xml:space="preserve">Quelle: </w:t>
      </w:r>
      <w:r>
        <w:t>https://mcp.opencaselaw.ch/entscheid/zh_obergericht_SB210579</w:t>
      </w:r>
    </w:p>
    <w:p>
      <w:r>
        <w:t>FR: ZH_OBERGERICHT SB210579 du 5 mai 2022</w:t>
      </w:r>
    </w:p>
    <w:p>
      <w:r>
        <w:t>IT: ZH_OBERGERICHT SB210579 del 5 maggio 2022</w:t>
      </w:r>
    </w:p>
    <w:p>
      <w:pPr>
        <w:pStyle w:val="Heading2"/>
      </w:pPr>
      <w:r>
        <w:t>Erwägungen</w:t>
      </w:r>
    </w:p>
    <w:p>
      <w:r>
        <w:rPr>
          <w:b/>
        </w:rPr>
        <w:t>E. 1</w:t>
      </w:r>
    </w:p>
    <w:p>
      <w:r>
        <w:t>Verfahrensgang</w:t>
      </w:r>
    </w:p>
    <w:p>
      <w:r>
        <w:rPr>
          <w:b/>
        </w:rPr>
        <w:t>E. 1.1</w:t>
      </w:r>
    </w:p>
    <w:p>
      <w:r>
        <w:t>Die appellierende Staatsanwaltschaft beantragt, der Beschuldigte sei mit einer bedingten Geldstrafe von 20 Tagessätzen zu Fr. 220.– bei einer Probezeit von 2 Jahren sowie mit einer Busse von Fr. 1'100.– zu bestrafen (Urk. 52 S. 2 f.; Urk. 72 S. 17 ff.). Die Verteidigung verzichtete auf Eventualanträge zum Straf- mass (Prot. II S. 10).</w:t>
      </w:r>
    </w:p>
    <w:p>
      <w:r>
        <w:rPr>
          <w:b/>
        </w:rPr>
        <w:t>E. 1.2</w:t>
      </w:r>
    </w:p>
    <w:p>
      <w:r>
        <w:t>Das Bundesgericht hat die Grundsätze der Strafzumessung nach Art. 47 ff. StGB und die an sie gestellten Begründungsanforderungen wiederholt dargelegt (BGE 136 IV 55 E. 5.4 ff. m.H.). Darauf kann verwiesen werden.</w:t>
      </w:r>
    </w:p>
    <w:p>
      <w:r>
        <w:rPr>
          <w:b/>
        </w:rPr>
        <w:t>E. 1.3</w:t>
      </w:r>
    </w:p>
    <w:p>
      <w:r>
        <w:t>Grobe Verkehrsregelverletzungen werden gemäss Art. 90 Abs. 2 SVG mit Freiheitsstrafe bis zu 3 Jahren oder Geldstrafe bis zu 180 Tagessätzen geahndet (Art. 102 SVG in Verbindung mit Art. 34 StGB). 2. Tatverschulden und Täterkomponente 2.1. Das Tatverschulden ist im Rahmen des weiten Strafrahmens von bis zu 3 Jahren bzw. angesichts der denkbaren, weit gravierenderen Tatvarianten als leicht zu bewerten. So sind bei der Verschuldensbewertung – im Gegensatz zur Beurteilung der Qualifikationsfrage von Art. 90 Abs. 1 oder Abs. 2 SVG – auch die konkreten Verhältnisse in Erwägung zu ziehen. Dabei ist zu berücksichtigen, dass der Beschuldigte das angedachte Überholmanöver frühzeitig beendete und damit zwar eine erhöhte, aber noch keine zwingend konkrete Gefahr für die übrigen Verkehrsteilnehmer resultierte. Selbst wenn kein reges Verkehrsaufkommen herrschte, bestand dennoch ein nicht unerhebliches Gefährdungspotential, ist doch bei einem gefährlichen Ausscheren an unübersichtlicher Stelle im Ausserortsbereich immer mit nahendem Gegenverkehr zu rechnen und kann je- weils nicht abgeschätzt werden, wie entgegenkommende Fahrzeuglenker reagie- ren, welche nicht mit solchen Manövern zu rechnen haben. Der Umstand, dass der Beschuldigte das Polizeifahrzeug nicht gesehen hat, obwohl er zuvor rechts und links am Lkw vorbei nach vorne sah, zeigt dies exemplarisch auf. Mit der</w:t>
      </w:r>
    </w:p>
    <w:p>
      <w:r>
        <w:t>- 24 - Staatsanwaltschaft darf das Manöver des Beschuldigten zwar nicht bagatellisiert werden (Urk. 72 S. 18). Immerhin kann sein Verhalten – ähnlich wie beim Ver- suchstatbestand – aber auch nicht mit tatsächlich durchgeführten Überholmanö- vern verglichen werden, bei welchen gänzlich rücksichtslos vorgefahren wird. Das objektiv leichte Tatverschulden ist daher im untersten Bereich des unteren Straf- rahmendrittels anzusiedeln. Es erscheinen 25 Tagessätze angemessen. 2.2. Subjektiv ist zu berücksichtigen, dass der Beschuldigte eventualvorsätzlich handelte und die verursachte Gefährdung nicht Ziel seines Verhaltens war. Dennoch resultierte daraus ein Manöver ohne nachvollziehbaren Grund, folgte er gemäss eigenen Aussagen dem sich regelkonform verhaltenden Lkw doch bereits über einen längeren Zeitraum und war er nicht in Eile (Prot. I S. 10 f.). Das sub- jektive Tatverschulden vermag die objektive Tatschwere daher weder zu erhöhen noch zu relativieren. 2.3. Der Beschuldigte ist in Zürich geboren, schloss nach dem Gymnasium ein Studium in … ab und war hernach mehrere Jahre in einer Grossbank tätig. Heute arbeitet er als Schulleiter, hat eine volljährige Tochter und ist von seiner Ehefrau geschieden (Prot. I S. 5 f.). Die persönlichen Verhältnisse des Beschuldigten so- wie seine Vorstrafenlosigkeit wirken sich strafzumessungsneutral aus (Urk. 54). Gleiches gilt für den Umstand, dass der Beschuldigte sich nicht geständig zeigt. 3. Höhe der Geldstrafe 3.1. Insgesamt erscheint eine Geldstrafe von 25 Tagessätzen angemessen. 3.2. 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Einkom- men, das dem Täter durchschnittlich an einem Tag zufliesst, ganz gleich, aus welcher Quelle die Einkünfte stammen (BGE 134 IV 60 E. 6). Was gesetzlich ge- schuldet ist oder dem Täter wirtschaftlich nicht zukommt ist abzuziehen, so die</w:t>
      </w:r>
    </w:p>
    <w:p>
      <w:r>
        <w:t>- 25 - laufenden Steuern, die Beiträge an die obligatorische Kranken- und Unfallversi- cherung, allfällige Familien- und Unterstützungspflichten sowie die notwendigen Berufsauslagen. Demgegenüber können Hypothekarzinsen wie an sich Wohnkos- ten überhaupt in der Regel nicht in Abzug gebracht werden (Urteil 6B_900/2020 vom 1. Oktober 2020 E. 2.2). 3.3. Der Beschuldigte erzielt ein monatliches Einkommen von rund Fr. 8'900.– netto, erhält jedoch einen 13. Monatslohn. Dies entspricht einem monatlichen Einkommen von rund Fr. 9'600.– (Urk. 63/3; Urk. 75 S. 2). Zusätzlich generiert er mit seiner Gewerbeliegenschaft einen Gewinn von ca. Fr. 1'666.– pro Monat (Fr. 20'000.– / 12 = Fr. 1'666.67; vgl. Urk. 75 S. 2 f.). Es kann daher gesamthaft von durchschnittlichen monatlichen Einkünften von Fr. 11'266.– ausgegangen werden. Abzüglich der vom Beschuldigten geltend gemachten monatlichen Auslagen (Unterhaltsbeiträge von insgesamt Fr. 1'000.–; Krankenkasse Fr. 375.–; Steuern Fr. 1'750.–) resultiert für die Berechnung des Tagessatzes ein tatsächliches monatliches Einkommen von Fr. 8'141.– (vgl. Urk. 63/1-8; Prot. II S. 2 f.). Die Tagessatzhöhe ist somit auf Fr. 270.– festzulegen. 4. Verbindungsbusse und konkrete Strafe 4.1. Um der im Strassenverkehr bekannten Schnittstellenproblematik gerecht zu werden, rechtfertigt sich zudem die Ausfällung einer zu bezahlenden Verbin- dungsbusse (vgl. zur Schnittstellenproblematik: BGE 134 IV 60 E. 7.3.1). Es liegt ein klassischer Fall vor, bei welchem ein Täter durch den bedingten Vollzug der Geldstrafe nicht besser fahren soll als jener, der für eine geringere Verkehrsregel- verletzung eine unbedingte Busse erhält. Allerdings darf die Verbindungsbusse gemäss bundesgerichtlicher Rechtsprechung nicht zu einer Straferhöhung führen (BGE 135 IV 188 E. 3.3). Sie erlaubt lediglich innerhalb der schuldangemessenen Strafe eine täter- und tatangemessene Sanktion, wobei die an sich verwirkte Geldstrafe und die damit verbundene Busse in ihrer Summe schuldangemessen sein müssen (vgl. BGE 134 IV 1 E. 4.5.2). 4.2. Angesichts der finanziellen Verhältnisse und der zuvor dargelegten Straf- zumessungsfaktoren erweist sich eine Busse von Fr. 1'350.– angemessen</w:t>
      </w:r>
    </w:p>
    <w:p>
      <w:r>
        <w:t>- 26 - (Art. 42 Abs. 4 StGB in Verbindung mit Art. 106 StGB). Aufgrund der festgelegten Tagessatzhöhe (Fr. 270.–) entspricht die Verbindungsbusse 5 Tagessätzen, um welche die zuvor festgesetzte Strafe zu reduzieren ist. 4.3. Der Beschuldigte ist demnach mit einer Geldstrafe von 20 Tagessätzen zu Fr. 270.– und einer Busse in Höhe von Fr. 1'350.– zu bestrafen. 5. Vollzug 5.1. Dem Beschuldigten ist als Ersttäter der bedingte Vollzug der Geldstrafe zu gewähren und die Probezeit ist auf das Minimum von 2 Jahren festzusetzen (Art. 42 Abs. 1 StGB und Art. 44 Abs. 1 StGB). 5.2. Die Busse ist zu bezahlen. Für den Fall, dass der Beschuldigte die Busse schuldhaft nicht bezahlt, ist im Lichte der zuvor festgelegten Tagessatzhöhe eine Ersatzfreiheitsstrafe von 5 Tagen auszusprechen (BGE 134 IV 60 E. 7.3.3). VI. Kosten- und Entschädigungsfolgen 1. Untersuchung und erstinstanzliches Verfahren Fällt die Rechtsmittelinstanz selber einen neuen Entscheid, so befindet sie darin auch über die von der Vorinstanz getroffene Kostenregelung (Art. 428 Abs. 3 StPO). Die Kosten für die Untersuchung und das erstinstanzliche Verfahren trägt die beschuldigte Person, wenn sie verurteilt wird und zwischen dem strafbaren Verhalten sowie den Kosten ein Kausalzusammenhang besteht (Art. 426 Abs. 1 StPO). Dies ist vorliegend der Fall. Dem Beschuldigten sind ausgangsgemäss die Kosten der Untersuchung und des erstinstanzlichen Gerichtsverfahrens aufzuer- legen. Die Gerichtsgebühr für das vorinstanzliche Verfahren ist dabei auf Fr. 1'500.– festzusetzen (Art. 424 Abs. 1 StPO in Verbindung mit § 14 Abs. 1 lit. a GebV OG). Eine Entschädigung für anwaltliche Verteidigung steht dem Beschul- digten bei dieser Ausgangslage nicht zu.</w:t>
      </w:r>
    </w:p>
    <w:p>
      <w:r>
        <w:t>- 27 - 2. Berufungsverfahren Die Kosten des zweitinstanzlichen Verfahrens sind auf Fr. 2'500.– zu ver- anschlagen (§ 16 Abs. 1 GebV OG in Verbindung mit § 14 GebV OG). Da die Staatsanwaltschaft mit ihrer Berufung vollumfänglich obsiegt, sind die Kosten des Berufungsverfahrens dem Beschuldigten aufzuerlegen (Art. 428 Abs. 1 StPO). Auch hier steht eine Entschädigung des Beschuldigten aufgrund der ihn treffenden Kostenpflicht ausser Frage. Es wird erkannt: 1. Der Beschuldigte A._____ ist schuldig der groben Verletzung der Verkehrs- regeln im Sinne von Art. 90 Abs. 2 SVG in Verbindung mit Art. 35 Abs. 2 und 4 SVG. 2. Der Beschuldigte wird bestraft mit einer Geldstrafe von 20 Tagessätzen zu Fr. 270.– sowie mit einer Busse von Fr. 1'350.–. 3. Der Vollzug der Geldstrafe wird aufgeschoben und die Probezeit auf 2 Jahre festgesetzt. 4. Die Busse ist zu bezahlen. Bezahlt der Beschuldigte die Busse schuldhaft nicht, so tritt an deren Stelle eine Ersatzfreiheitsstrafe von 5 Tagen. 5. Die erstinstanzliche Gerichtsgebühr wird angesetzt auf: Fr. 1'500.– ; die weiteren Kosten betragen: Fr. 1'000.– Gebühr Anklagebehörde Fr. 60.– Auslagen Polizei. 6. Die Kosten der Untersuchung und des erstinstanzlichen Verfahrens werden vollumfänglich dem Beschuldigten auferlegt. 7. Die zweitinstanzliche Gerichtsgebühr wird festgesetzt auf Fr. 2'500.–.</w:t>
      </w:r>
    </w:p>
    <w:p>
      <w:r>
        <w:rPr>
          <w:b/>
        </w:rPr>
        <w:t>E. 1.4</w:t>
      </w:r>
    </w:p>
    <w:p>
      <w:r>
        <w:t>Generell muss ein Anfangs- oder Tatverdacht nur gegeben sein, wenn die polizeiliche Ermittlungstätigkeit im Rahmen eines strafprozessualen Vorverfahrens erfolgt (Art. 15 Abs. 1 StPO und Art. 299 Abs. 2 StPO). Dies ist vorliegend klar zu verneinen, tätigten die Polizisten doch gerade keine Beweiserhebungen ausgehend von einem bereits bestehenden Anfangsverdacht. Es dürfte sodann nicht weiter umstritten sein, dass eine Patrouille des verkehrspolizeilichen Einsatzdienstes auch ohne konkreten Ermittlungs- oder Kontrollauftrag bei Fahrten auf öffentlichen Strassen ganz grundsätzlich in Wahrnehmung ihrer verkehrspolizeilichen Aufgaben agiert (vgl. hierzu sogleich E. II.1.5.), weshalb für die Frage der Verwertbarkeit nicht die StPO, sondern die Polizeigesetzgebung Anwendung findet. Dass die Kontrolle des Strassenverkehrs in der Konsequenz immer auch der Ermittlung fehlbarer Fahrzeuglenker und der Sicherstellung von Beweisen im Hinblick auf ein späteres Strafverfahren dient, ändert nichts an der Einstufung als sicherheitspolizeiliche Tätigkeit (vgl. Urteil 6B_1143/2015 vom 6. Juni 2016 E. 1.3.1; s.a. WOHLERS, in: Die Verwertbarkeit staatlich erstellter Videoaufzeichnungen im Strafprozess, ZStrR 140/2022 S. 49 ff., S. 61).</w:t>
      </w:r>
    </w:p>
    <w:p>
      <w:r>
        <w:t>- 8 -</w:t>
      </w:r>
    </w:p>
    <w:p>
      <w:r>
        <w:rPr>
          <w:b/>
        </w:rPr>
        <w:t>E. 1.5</w:t>
      </w:r>
    </w:p>
    <w:p>
      <w:r>
        <w:t>Gesetzliche Grundlagen für die Kontrolle des Verkehrs auf öffentlichen Strassen durch die Kantonspolizei bilden das Strassenverkehrsgesetz (SVG), die dazugehörige Strassenverkehrskontrollverordnung (SKV) sowie das kantonale Polizeigesetz (PolG/ZH). Aus diesen Bestimmungen geht im Wesentlichen hervor, dass die kantonale Polizei zur Erhöhung der Verkehrssicherheit und Verhütung von Unfällen die erforderlichen Massnahmen trifft (Art. 1 Abs. 1 SVG und Art. 106 Abs. 1 SVG; Art. 1 SKV und Art. 3 SKV; § 1 Abs. 1 PolG/ZH und § 3 Abs. 2 lit. b PolG/ZH). In Art. 9 Abs. 1 SKV ist ausdrücklich vorgesehen, dass die Polizei für Kontrollen des Strassenverkehrs nach Möglichkeit technische Hilfsmittel einsetzt. Die Staatsanwaltschaft hat grundsätzlich zutreffend aufgezeigt, dass zu den tech- nischen Hilfsmitteln der genannten Norm auch sogenannte "Sat-Speed-Systeme" gehören (Urk. 52 S. 3). Aufgrund der nicht abschliessenden Aufzählung von Kontrollmöglichkeiten ist dabei irrelevant, dass die Kontrolle von Überholmanövern in Art. 9 Abs. 1 SKV nicht namentlich erwähnt wird (vgl. Urk. 73 N 13). Der Einsatz von Sat-Speed-Systemen im Besonderen wird sodann in Art. 6 lit. c VSKV-ASTRA sowie den Weisungen über polizeiliche Geschwindigkeitskontrollen und Rotlichtüberwachung im Strassenverkehr vom 22. Mai 2008 geregelt (s.a. Urteil 6B_1025/2015 vom 4. November 2015 E. 3.2). Keine dieser genannten Bestimmungen verlangt einen Anfangsverdacht und erst recht keinen hinreichenden Tatverdacht zur Legitimation polizeilichen Handelns im Rahmen von Verkehrskontrollen (so ausdrücklich: Urteil 6B_1143/2015 vom</w:t>
      </w:r>
    </w:p>
    <w:p>
      <w:r>
        <w:rPr>
          <w:b/>
        </w:rPr>
        <w:t>E. 1.6</w:t>
      </w:r>
    </w:p>
    <w:p>
      <w:r>
        <w:t>Hält die Vorinstanz fest, es gehe aus dem Polizeirapport nicht hervor, ob der Strassenverkehr aufgrund einer Stichprobe oder im Rahmen einer Grosskontrolle aufgezeichnet worden sei, ist dies nicht stichhaltig (vgl. Urk. 48 S. 5). Die Patrouille der Verkehrspolizei erfüllte auch ohne konkreten Auftrag eine ihr von Gesetzes wegen auferlegte Pflicht. Die anlassfreie Kontrolle des Strassenverkehrs, selbst unter Einsatz technischer Hilfsmittel, wird vom Bundesgericht denn auch als zulässig angesehen. Der Beizug von polizeilich erstellten Daten als erkennungsdienstliches Material in einem Strafverfahren</w:t>
      </w:r>
    </w:p>
    <w:p>
      <w:r>
        <w:t>- 9 - vermag dabei grundsätzlich keine prozessualen Beweisverbote zu begründen (zum Ganzen: Urteil 6B_1143/2015 vom 6. Juni 2016 E. 1.3.2. ff. und Urteil 6B_57/2018 vom 18. April 2018 E. 4). Auch der Hinweis der Vorinstanz und der Verteidigung auf § 32a PolG/ZH ist vorliegend nicht einschlägig (vgl. Urk. 48 S. 5; Urk. 73 N 14). Entgegen dem Randtitel im Gesetz enthält diese Norm keine allgemeinen Grundsätze für die Audio- und Videoüberwachung durch die Polizei, sondern regelt allein die Videoüberwachung als eine von vier Überwachungsformen des kantonalzürcherischen Polizeigesetzes (neben den Überwachungsmassnahmen gemäss §§ 32, 32b und 32c PolG/ZH; vgl. RHYNER, in: DONATSCH/JAAG/ZIMMERLIN, Kommentar zum Polizeigesetz des Kantons Zürich, 2018, § 32a N 2). Die zulässigen Modalitäten von Strassenverkehrskontrollen werden jedoch durch die Strassenverkehrsgesetzgebung des Bundes erschöpfend vorgegeben (Urteil 6B_1143/2015 vom 6. Juni 2016 E. 1.3.3). Vorliegend ist also einzig die bereits zitierte Norm von Art. 9 Abs. 1 SKV mass- gebend, die als übergeordnete bundesrechtliche Vorschrift den Einsatz technischer Hilfsmittel zur Erfassung von Verkehrsregelverstössen ausdrücklich vorsieht. Insgesamt bestand damit für die Aufzeichnung der strittigen Videosequenz eine ausreichende gesetzliche Grundlage, weshalb diese rechtmässig erfolgte und ohne weitergehende Prüfung verwertbar ist. 2. Beweisantrag Die Staatsanwaltschaft stellte berufungsweise den Beweisantrag, der rapportie- rende Polizeibeamte sei eventualiter als Zeuge einzuvernehmen, sofern sich der Fall nicht aufgrund der rechtskonformen Verwertung des Videomaterials als spruchreif erweise (Urk. 52 S. 2; Urk. 72 S. 1 ff.). Wie nachfolgend aufzuzeigen sein wird, kann aufgrund der verwertbaren Videoaufnahmen der Sachverhalt erstellt und auf die Einvernahme des Polizeibeamten verzichtet werden.</w:t>
      </w:r>
    </w:p>
    <w:p>
      <w:r>
        <w:t>- 10 - III. Sachverhalt 1. Ausgangslage und Grundsätze der Beweiswürdigung</w:t>
      </w:r>
    </w:p>
    <w:p>
      <w:r>
        <w:rPr>
          <w:b/>
        </w:rPr>
        <w:t>E. 6</w:t>
      </w:r>
    </w:p>
    <w:p>
      <w:r>
        <w:t>Juni 2016 E. 1.3.3). Im Gegenteil: Art. 5 Abs. 1 und 2 SKV legt sogar fest, dass die Kontrollen stichprobenweise, systematisch oder im Rahmen von Grosskontrollen erfolgen können.</w:t>
      </w:r>
    </w:p>
    <w:p>
      <w:r>
        <w:rPr>
          <w:b/>
        </w:rPr>
        <w:t>E. 8</w:t>
      </w:r>
    </w:p>
    <w:p>
      <w:r>
        <w:t>Die Kosten des Berufungsverfahrens werden vollumfänglich dem Beschul- digten auferlegt.</w:t>
      </w:r>
    </w:p>
    <w:p>
      <w:r>
        <w:t>- 28 -</w:t>
      </w:r>
    </w:p>
    <w:p>
      <w:r>
        <w:rPr>
          <w:b/>
        </w:rPr>
        <w:t>E. 9</w:t>
      </w:r>
    </w:p>
    <w:p>
      <w:r>
        <w:t>Dem Beschuldigten wird keine Entschädigung zugesprochen.</w:t>
      </w:r>
    </w:p>
    <w:p>
      <w:r>
        <w:rPr>
          <w:b/>
        </w:rPr>
        <w:t>E. 10</w:t>
      </w:r>
    </w:p>
    <w:p>
      <w:r>
        <w:t>Schriftliche Mitteilung im Dispositiv an − die Verteidigung im Doppel für sich und zuhanden des Beschuldigten (versandt)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 ger Rechtsmittel an − die Vorinstanz − das Strassenverkehrsamt des Kantons Zürich, Abteilung Administrativ- massnahmen, 8090 Zürich (PIN-Nr. 00.000.097.667) − die Koordinationsstelle VOSTRA/DNA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5. Mai 2022 Der Präsident: Der Gerichtsschreiber: lic. iur. Ch. Prinz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