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SB210536 vom 1. April 2022</w:t>
      </w:r>
    </w:p>
    <w:p>
      <w:r>
        <w:t>ZH Obergericht, 2022-04-01, DE</w:t>
      </w:r>
    </w:p>
    <w:p>
      <w:r>
        <w:rPr>
          <w:b/>
        </w:rPr>
        <w:t xml:space="preserve">Quelle: </w:t>
      </w:r>
      <w:r>
        <w:t>https://mcp.opencaselaw.ch/entscheid/zh_obergericht_SB210536</w:t>
      </w:r>
    </w:p>
    <w:p>
      <w:r>
        <w:t>FR: ZH_OBERGERICHT SB210536 du 1 avril 2022</w:t>
      </w:r>
    </w:p>
    <w:p>
      <w:r>
        <w:t>IT: ZH_OBERGERICHT SB210536 del 1 aprile 2022</w:t>
      </w:r>
    </w:p>
    <w:p>
      <w:pPr>
        <w:pStyle w:val="Heading2"/>
      </w:pPr>
      <w:r>
        <w:t>Erwägungen</w:t>
      </w:r>
    </w:p>
    <w:p>
      <w:r>
        <w:rPr>
          <w:b/>
        </w:rPr>
        <w:t>E. 1</w:t>
      </w:r>
    </w:p>
    <w:p>
      <w:r>
        <w:t>Mit Urteil des Bezirksgerichts Uster, Strafgericht, vom 29. April 2021 wurde der Beschuldigte A._____ wegen mehrfachen Verbrechens gegen das Betäu- bungsmittelgesetz im Sinne von dessen Art. 19 Abs. 1 lit. b, c und d in Verbindung mit dessen Art. 19 Abs. 2 lit. a und wegen Führens eines nicht betriebssicheren Fahrzeuges im Sinne von Art. 93 Abs. 2 lit. a SVG schuldig gesprochen. Weiter wurde der Beschuldigte B._____ wegen mehrfachen Verbrechens gegen das Be- täubungsmittelgesetz im Sinne von dessen Art. 19 Abs. 1 lit. b, c und d in Verbin- dung mit dessen Art. 19 Abs. 2 lit. a, teilweise in Gehilfenschaft im Sinne von Art. 25 StGB, schuldig gesprochen. Der Beschuldigte A._____ wurde mit 24 Monaten Freiheitsstrafe, wovon 57 Tage durch Haft erstanden waren, sowie mit einer Bus- se von Fr. 300.– bestraft. Der Vollzug der Freiheitsstrafe wurde aufgeschoben und die Probezeit wurde auf 2 Jahre festgesetzt. Der Beschuldigte B._____ wurde mit 36 Monaten Freiheitsstrafe, wovon 90 Tage durch Haft erstanden waren, be- straft. Der Vollzug der Freiheitsstrafe wurde im Umfang von 24 Monaten aufge- schoben und die Probezeit auf 3 Jahre festgesetzt. Im Restumfang von 12 Monaten, abzüglich 90 Tage Haft, wurde die Freiheitsstrafe vollzogen. Ferner wurde der Beschuldigte A._____ im Sinne von Art. 66a StGB für die Dauer von</w:t>
      </w:r>
    </w:p>
    <w:p>
      <w:r>
        <w:rPr>
          <w:b/>
        </w:rPr>
        <w:t>E. 5</w:t>
      </w:r>
    </w:p>
    <w:p>
      <w:r>
        <w:t>Ein Härtefall lässt sich bei einem Eingriff von einer gewissen Tragweite in den Anspruch des Ausländers auf das in Art. 13 BV bzw. Art. 8 EMRK gewährleis- tete Privat- und Familienleben annehmen. Unter dem Titel der Achtung des Pri-</w:t>
      </w:r>
    </w:p>
    <w:p>
      <w:r>
        <w:t>- 12 - vatlebens im Sinne von Art. 8 Ziff. 1 EMRK genügen selbst eine lange Anwesen- heit und die damit verbundene normale Integration nicht. Erforderlich sind beson- ders intensive, über eine normale Integration hinausgehende private Beziehungen beruflicher oder gesellschaftlicher Natur (BGE 144 II 1 E. 6.1.; BGer-Urteile 6B_186/2020 vom 6. Mai 2020 E. 2.3.2.; 6B_1314/2019 vom 9. März 2020 E. 2.3.6.; 6B_1044/2019 vom 17. Februar 2020 E. 2.5.2.). Das durch Art. 13 BV bzw. Art. 8 EMRK geschützte Recht auf Achtung des Familienlebens ist berührt, wenn eine staatliche Entfernungs- oder Fernhaltemassnahme eine nahe, echte und tat- sächlich gelebte familiäre Beziehung einer in der Schweiz gefestigt anwesen- heitsberechtigten Person beeinträchtigt, ohne dass es dieser ohne weiteres mög- lich bzw. zumutbar wäre, ihr Familienleben andernorts zu pflegen. Intakte familiä- re Beziehungen zu in der Schweiz niedergelassenen Familienmitgliedern sind grundsätzlich als erhebliches privates Interesse an einem weiteren Verbleib in der Schweiz zu gewichten (BGer-Urteil 6B_1299/2019 vom 28. Januar 2020 E. 3.4.3.; 2C_253/2015 vom 9. September 2015 E. 3.3.3.). Zum geschützten Familienkreis gehört in erster Linie die Kernfamilie, d.h. die Gemeinschaft der Ehegatten mit ih- ren minderjährigen Kindern. Andere familiäre Verhältnisse fallen in den Schutzbe- reich von Art. 8 EMRK, sofern eine genügend nahe, echte und tatsächlich gelebte Beziehung besteht. Hinweise für solche Beziehungen sind das Zusammenleben in einem gemeinsamen Haushalt, eine finanzielle Abhängigkeit, speziell enge fa- miliäre Bindungen, regelmässige Kontakte oder die Übernahme von Verantwor- tung für eine andere Person (BGer-Urteil 6B_177/2020 vom 2. Juli 2020 E. 2.4.3. mit Hinweisen). Eine normale familiäre emotionale Beziehung reicht nicht aus, um einen Aufenthaltsanspruch zu begründen (BGE 144 II 1 E. 6.6.). Minderjährige Kinder teilen schon aus familienrechtlichen Gründen regelmässig das ausländer- rechtliche Schicksal der Eltern und haben das Land gegebenenfalls mit diesen zu verlassen; für Kinder im anpassungsfähigen Alter ist der Umzug in das Heimat- land zumutbar (BGE 143 I 21 E. 5.4.; BGer-Urteil 6B_1299/2019 vom 28. Januar 2020 E. 3.4.5.; 2C_234/2019 vom 14. Oktober 2019 E. 4.3.2.). Ist bspw. die Ehe- frau Schweizerin, sodass es den Kindern freisteht, in der Schweiz zu verbleiben, kann der Kontakt zum Betroffenen durch Kommunikationsmittel oder Besuche aufrecht erhalten werden (BGer-Urteil 6B_1299/2019 vom 28. Januar 2020 E.</w:t>
      </w:r>
    </w:p>
    <w:p>
      <w:r>
        <w:t>- 13 - 3.4.5. f., m.w.H.). Allerdings ist dem Kindeswohl bei jeder Entscheidung Rech- nung zu tragen (BGE 143 I 21 E. 5.5.1.; BGer-Urteil 2C_221/2019 vom 25. Juli 2019 E. 3.4.), insbesondere wenn eine enge Eltern-Kind-Beziehung wegen der Distanz zwischen der Schweiz und dem Heimatstaat praktisch nicht aufrecht er- halten werden könnte (BGE 143 I 21 E. 5.2.). Dieser Umstand lässt eine auslän- derrechtliche Wegweisung jedoch nicht bereits als unverhältnismässig erscheinen (BGE 143 I 21 E. 6.3.6.). Das gilt umso mehr bei der als strafrechtliche Mass- nahme ausgestalteten Landesverweisung (dazu BGer-Urteil 6B_627/2018 vom 22. März 2019 E. 1.3.2.).</w:t>
      </w:r>
    </w:p>
    <w:p>
      <w:r>
        <w:rPr>
          <w:b/>
        </w:rPr>
        <w:t>E. 6</w:t>
      </w:r>
    </w:p>
    <w:p>
      <w:r>
        <w:t>Der Beschuldigte selbst gab gegenüber der Staatsanwaltschaft an, dass er in Deutschland geboren sei. Seine Eltern seien dort im Asylverfahren gewesen. Als er drei Monate alt gewesen sei, seien sie zurück nach Nordmazedonien, D._____, gegangen. Dort habe er gelebt, bis er sich mit seiner Frau verlobt habe. Seit fünf Jahren sei er jetzt in der Schweiz. In D._____ habe er die Grund- und Mittelschule besucht, dann habe er sich verlobt. Er habe keine Berufsausbildung gemacht. Er habe in D._____ als Kellner gearbeitet. Mit seinen Eltern habe er sich gut verstanden. Er habe einen Bruder und eine Schwester. Der Bruder lebe in D._____, die Schwester in E._____ [Ort in Deutschland]. Zur Zeit lebe sein Bruder mit einem Visum auch in Deutschland. Militärdienst habe er nie geleistet (zum Ganzen Urk. D1/5/5 S. 8). Seine Eltern lebten noch in Nordmazedonien. Ausserdem habe er dort einen Onkel. In der Schweiz seien seine Frau und seine Kinder. Sonst habe er keine Beziehungen zur Schweiz. Er habe einen Fehler ge- macht. Er wolle hier in der Schweiz künftig nur noch regulär arbeiten und sich hier um seine Familie kümmern (Urk. 1/5/5 S. 8). Ohne seine Kinder könne er sich nicht vorstellen, künftig in Nordmazedonien zu leben. Seine Frau würde aber mit den Kindern hierbleiben (Urk. D1/5/5 S. 9). Im Rahmen der erstinstanzlichen Hauptverhandlung erklärte der Beschuldigte, er sei weiterhin arbeitslos, suche aber einen Job als Lagerist. Er erhalte Arbeitslosenunterstützung von ca. Fr. 2'500.– bis Fr. 2'600.–. Seine Frau arbeite im Altersheim. Sie verdiene Fr. 4'000.– netto pro Monat. In seiner Freizeit spiele er mit seinen Kindern. Der äl- tere Sohn gehe in den Kindergarten. Die Mutter seiner Ehefrau arbeite nicht und könne zu den Kindern schauen, wenn beide voll arbeiten würden. Er habe ausser</w:t>
      </w:r>
    </w:p>
    <w:p>
      <w:r>
        <w:t>- 14 - der Familie niemanden hier. Er habe Freunde, welche aus Mazedonien herge- kommen seien. Schweizer Freunde habe er keine (Prot. I S. 6 f.). Er sei wegen seiner Ehefrau in die Schweiz gekommen. Seine Mutter, sein Vater, seine Schwester und sein Bruder lebten noch in Nordmazedonien. Sein Vater arbeite als Ticketkontrolleur. Seine Mutter sei zu Hause. Sein Bruder arbeite im Restau- rant und seine Schwester arbeite im Spital. Er könnte bei seinen Eltern wohnen, aber es sei sehr eng und habe nicht viel Platz dort. Wenn er aber die Schweiz verlassen müsste, würde er zu seinen Eltern nach Nordmazedonien gehen. Seine Ehefrau und die Kinder würden in der Schweiz bleiben (Prot. I S. 9). Anlässlich der Berufungsverhandlung ergänzte der Beschuldigte, er arbeite bis 17:10 Uhr. Dann komme er nach Hause, esse und spiele mit den Kindern. Das Wochenende verbringe er mit seiner Frau. Er habe eine intensive Beziehung zum jüngeren der beiden Söhne. Die Kinder spielten zudem nur mit ihm (Prot. II S. 8 f.).</w:t>
      </w:r>
    </w:p>
    <w:p>
      <w:r>
        <w:rPr>
          <w:b/>
        </w:rPr>
        <w:t>E. 7</w:t>
      </w:r>
    </w:p>
    <w:p>
      <w:r>
        <w:t>Vorab ist darauf hinzuweisen, dass der Beschuldigte mittlerweile über eine Personalvermittlung Einsätze als Lagerist in F._____ [Ortschaft] hatte (siehe Urk. 61). Das Einkommen variierte in den Sommermonaten 2021 stark, wobei der Durchschnitt bei rund Fr. 1'500.– monatlich lag. Offenbar handelt es sich um Einsätze auf Abruf (Urk. 71). Diese neuen Umstände seit dem vorinstanzlichen Urteil führen nicht dazu, dass von einer eigentlichen beruflichen Verwurzelung gesprochen werden kann. Der Beschuldigte verfügt über die B- Aufenthaltsbewilligung und befindet sich seit zwischenzeitlich bald 7 Jahren in der Schweiz. Dabei handelt es sich zwar um eine längere Zeitdauer, jedoch ist seine soziale Verbindung zur Schweiz nicht stark ausgeprägt. Offenbar pflegt er verein- zelt Freundschaften mit Personen aus seinem Heimatland, unterhält aber keine weitergehenden Beziehungen hier, die ihn wesentlich an die Schweiz binden wür- den. Seinen Angaben ist zu entnehmen, dass er sich privat hauptsächlich dem Familienleben widmet. Dementsprechend eng wird die Verbundenheit zu seiner Frau und seinen Kindern sein, welche Schweizer sind. Seine Sprachkenntnisse sind beschränkt, wobei diesbezüglich eine Steigerung erfolgt ist, zumal er anläss- lich der Berufungsverhandlung frei Deutsch sprach (siehe insb. Prot. II S. 11). Es ist eine positive Tendenz beim Beschuldigten erkennbar, doch kann noch nicht von einer fortgeschrittenen Integration gesprochen werden. Seine sozialen und</w:t>
      </w:r>
    </w:p>
    <w:p>
      <w:r>
        <w:t>- 15 - beruflichen Bande zur Schweiz weisen nicht die Intensität auf, wie sie von der bundesgerichtlichen Rechtsprechung für die Bejahung eines schweren persönli- chen Härtefalls gefordert wird. Gleichzeitig verfügt er in Nordmazedonien bereits über ein soziales Netz, zumal seine Eltern dort leben. Auch sprachlich wird er sich gut zurecht finden können. Folglich ist ihm die ihm die Integration im Heimatland ohne weiteres möglich. 8.1. Wie bereits aufgezeigt, haben die härtefallbegründenden Aspekte primär den Betroffenen selbst zu treffen. Bei Dritten auftretend sind sie dann zu berück- sichtigen, wenn sie mindestens indirekt auch eine Auswirkung auf den Betroffe- nen selbst haben. Ausser Frage steht, dass durch die Landesverweisung des Be- schuldigten dessen Recht auf Privat- und Familienleben gemäss Art. 13 BV bzw. Art. 8 EMRK berührt wird. Nur schon aufgrund des familiären Zusammenlebens ist anzunehmen, dass ihm eine wesentliche Erziehungsrolle für die beiden Kinder zukommt und diesen eine zentrale Bezugsperson fehlen würde, sollte er die Schweiz verlassen müssen. Aufgrund ihres jungen Alters von zwei resp. fünf Jah- ren (Prot. II S. 8), wäre diesen allerdings nach der Rechtsprechung des Bundes- gerichts zuzumuten, ihm nach Nordmazedonien zu folgen. Laut seinen und den- jenigen Angaben seiner Verteidigung ist jedoch davon auszugehen, dass die Ehe- frau wegen ihres Berufes in der Schweiz bleiben wird und die Kinder bei ihr woh- nen werden. Damit wird effektiv die familiäre Lebensgemeinschaft im Alltag aufge- löst. Dies ergibt sich bereits aus den Befragungen des Beschuldigten, weshalb es nicht erforderlich ist, seine Ehefrau zum Familienleben und der Wirkung der Lan- desverweisung zu befragen. Der entsprechende Beweisantrag ist folglich abzu- weisen. D._____ ist von Zürich innerhalb von zwei Stunden mit dem Flugzeug zu erreichen, weshalb immerhin regelmässige Besuche möglich und seiner Familie zuzumuten wären. Auch technische Kommunikationsmittel würden es dem Be- schuldigten und seinen Kindern erlauben, alltäglichen Kontakt miteinander zu pflegen. Der weitere Beweisantrag der Verteidigung um Anordnung eines kinder- psychologischen Gutachtens erweist sich ebenfalls als nicht notwendig. Der Be- schuldigte würde in seiner Erziehungsrolle zwar eingeschränkt, nicht jedoch sei- ner Vaterrolle beraubt. Er bliebe den Kindern als Bezugsperson im Leben erhal- ten, wie die vorstehenden Erwägungen aufzeigen. Bezüglich der Betreuung gilt es</w:t>
      </w:r>
    </w:p>
    <w:p>
      <w:r>
        <w:t>- 16 - weiter festzuhalten, dass der Beschuldigte selbst angab, dass für den Fall, dass beide Elternteile berufstätig wären, die Mutter der Ehefrau die Kinder betreuen würde. Wenn mithin seine Ehefrau in der Schweiz bleiben und weiterhin einer Vollzeitstelle nachgehen würde, wäre auch im Falle einer Landesverweisung die Betreuung der Kinder durch ein nahes Familienmitglied gewährleistet. Schliesslich gilt es hervorzuheben, dass in finanzieller Hinsicht die Ehefrau des Beschuldigten bereits längere Zeit allein für den Familienunterhalt aufkam. 8.2. Im Ergebnis erfährt die Beziehungsgestaltung zwischen den kleinen Kin- dern und ihrem Vater für eine Dauer von fünf Jahren eine nicht unerhebliche Ein- schränkung. Sie ist jedoch nicht von einer Intensität, welche im Sinne der bun- desgerichtlichen Rechtsprechung für einen schweren persönlichen Härtefall ge- nügt.</w:t>
      </w:r>
    </w:p>
    <w:p>
      <w:r>
        <w:rPr>
          <w:b/>
        </w:rPr>
        <w:t>E. 9</w:t>
      </w:r>
    </w:p>
    <w:p>
      <w:r>
        <w:t>Da kein persönlicher Härtefall vorliegt, erübrigen sich grundsätzlich weitere Erwägungen. Doch selbst bei einem Härtefall wäre nicht von einer Landesverwei- sung abzusehen. Der Beschuldigte handelte jeweils mit sehr grossen Betäu- bungsmittelmengen einer Reinsubstanz von 422.5 Gramm Heroin und 48 Gramm Kokain (siehe Urk. 56 S. 13 und Urk. D1/28). Angesichts der von dieser grossen Menge ausgehenden Gefahr für die Gesundheit einer grossen Anzahl von Men- schen besteht deshalb ein gewichtiges öffentliches Interesse an der Wegweisung des Beschuldigten aus der Schweiz, welches sein privates Interesse am Verbleib überwiegt. Auch die Vorstrafenlosigkeit (Urk. 58) und das unbescholtene Verhal- ten seit seiner Haftentlassung ändern daran nichts.</w:t>
      </w:r>
    </w:p>
    <w:p>
      <w:r>
        <w:rPr>
          <w:b/>
        </w:rPr>
        <w:t>E. 10</w:t>
      </w:r>
    </w:p>
    <w:p>
      <w:r>
        <w:t>Da kein schwerer persönlicher Härtefall vorliegt, ist der Beschuldigte des Landes zu verweisen. Die von der Vorinstanz vorgesehene Dauer von 5 Jahren erscheint als angemessen, wäre aufgrund des Verschlechterungsverbots im Sin- ne von Art. 391 Abs. 2 Satz 1 StPO jedoch ohnehin zu bestätigen. III. Ausschreibung der Landesverweisung Die Vorinstanz hat die Grundlagen zur Ausschreibung der Landesverweisung im Schengener Informationssystem (SIS) zutreffend erläutert, weshalb auf ihre Er-</w:t>
      </w:r>
    </w:p>
    <w:p>
      <w:r>
        <w:t>- 17 - wägungen verwiesen werden kann (Urk. 56 S. 27 f.). Auch anlässlich der Beru- fungsverhandlung machte der Beschuldigte kein Aufenthaltsrecht in einem ande- ren Mitgliedstaat des Schengen-Übereinkommens geltend. Demzufolge ist die Ausschreibung der Landesverweisung im Schengener Informationssystem (SIS) anzuordnen. IV. Kosten- und Entschädigungsfolgen 1. Im Berufungsverfahren tragen die Parteien die Kosten nach Massgabe ih- res Obsiegens oder Unterliegens (Art. 428 Abs. 1 StPO). Der Beschuldigte unter- liegt mit seiner Berufung vollumfänglich. Folglich sind ihm die Kosten des Beru- fungsverfahrens, mit Ausnahme derjenigen der amtlichen Verteidigung, aufzuer- legen. Die Kosten der amtlichen Verteidigung sind auf die Gerichtskasse zu neh- men, wobei die Rückzahlungspflicht des Beschuldigten gemäss Art. 135 Abs. 4 StPO vorzubehalten ist. 2. Die amtliche Verteidigung machte für das Berufungsverfahren einen Auf- wand von Fr. 4'304.40 geltend (Urk. 70). Dies erweist sich angesichts des Akten- umfangs und des Verfahrensablaufs als angemessen. Dementsprechend ist die Verteidigung für ihre Aufwendungen im Berufungsverfahren mit rund Fr. 4'300.– zu entschädigen.</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