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SB210477 vom 20. Januar 2022</w:t>
      </w:r>
    </w:p>
    <w:p>
      <w:r>
        <w:t>ZH Obergericht, 2022-01-20, DE</w:t>
      </w:r>
    </w:p>
    <w:p>
      <w:r>
        <w:rPr>
          <w:b/>
        </w:rPr>
        <w:t xml:space="preserve">Quelle: </w:t>
      </w:r>
      <w:r>
        <w:t>https://mcp.opencaselaw.ch/entscheid/zh_obergericht_SB210477</w:t>
      </w:r>
    </w:p>
    <w:p>
      <w:r>
        <w:t>FR: ZH_OBERGERICHT SB210477 du 20 janvier 2022</w:t>
      </w:r>
    </w:p>
    <w:p>
      <w:r>
        <w:t>IT: ZH_OBERGERICHT SB210477 del 20 gennaio 2022</w:t>
      </w:r>
    </w:p>
    <w:p>
      <w:pPr>
        <w:pStyle w:val="Heading2"/>
      </w:pPr>
      <w:r>
        <w:t>Erwägungen</w:t>
      </w:r>
    </w:p>
    <w:p>
      <w:r>
        <w:rPr>
          <w:b/>
        </w:rPr>
        <w:t>E. 1</w:t>
      </w:r>
    </w:p>
    <w:p>
      <w:r>
        <w:t>Verfahrensgang Am 21. Januar 2021 erhob die Staatsanwaltschaft I des Kantons Zürich (nach- folgend: Staatsanwaltschaft) beim Bezirksgericht Winterthur Anklage (Urk. 11). Am 18. Juni 2021 fällte die Vorinstanz das eingangs aufgeführte Urteil (Urk. 36 S. 48 ff.). Zum Verfahrensgang bis zum erstinstanzlichen Urteil kann zwecks Vermeidung von unnötigen Wiederholungen auf die zutreffenden Erwägungen der Vorinstanz verwiesen werden (Urk. 36 S. 4). Am 21. Juni 2021 und damit innert der gesetzlichen Frist liess der Beschuldigte Berufung anmelden (Art. 399 Abs. 1 StPO; Urk. 31). Das begründete Urteil wurde dem amtlichen Verteidiger am 26. August 2021 zugestellt (Urk. 34). Mit Eingabe vom 3. September 2021 reichte dieser innert der zwanzigtägigen Frist von Art. 399 Abs. 3 StPO die Berufungserklärung ein (Urk. 38). Mit Präsidialverfügung vom 20. September 2021 wurde die Berufungserklärung der Staatsanwaltschaft zugestellt und ihr Frist angesetzt, um gegebenenfalls Anschlussberufung zu erheben oder ein Nichteintreten auf die Berufung zu bean- tragen (Urk. 41). Die Staatsanwaltschaft erklärte mit Eingabe vom 22. September 2021, auf eine Anschlussberufung zu verzichten, und beantragte die Bestätigung des vorinstanzlichen Urteils (Urk. 43). Am 4. November 2021 wurde zur Berufungsverhandlung auf den heutigen Tag vorgeladen (Urk. 45). Zu dieser erschienen der Beschuldigte in Begleitung seines amtlichen Verteidigers Rechtsanwalt lic. iur. HSG X._____ (Prot. II S. 3). Die Verhandlung konnte ordnungsgemäss durchgeführt werden (Prot. II S. 3 ff.).</w:t>
      </w:r>
    </w:p>
    <w:p>
      <w:r>
        <w:t>- 6 -</w:t>
      </w:r>
    </w:p>
    <w:p>
      <w:r>
        <w:rPr>
          <w:b/>
        </w:rPr>
        <w:t>E. 2</w:t>
      </w:r>
    </w:p>
    <w:p>
      <w:r>
        <w:t>Umfang der Berufung Mit Blick auf die Berufungserklärung des Beschuldigten sind die Dispositiv- Ziffern 8 (Herausgabe der beschlagnahmten Kleidungsstücke), 9 (Absehen von Abnahme einer DNA-Probe und Erstellung eines DNA-Profils) und 10 (Kosten- festsetzung) nicht angefochten und damit in Rechtskraft erwachsen, was vorab mittels Beschluss festzustellen ist (Art. 404 Abs. 1 StPO). Im übrigen Umfang (betr. Dispositiv-Ziffern 1-7 und 11) steht der angefochtene Entscheid im Rahmen des Berufungsverfahrens unter Vorbehalt des Verschlech- terungsverbotes zur Disposition. Dispositiv-Ziffer 6 betreffend Verzicht auf Aus- schreibung der Landesverweisung im Schengener Informationssystem gilt auf- grund des zwingenden Konnexes zur Frage der Landesverweisung (Dispositiv- Ziffer 5) als mitangefochten.</w:t>
      </w:r>
    </w:p>
    <w:p>
      <w:r>
        <w:rPr>
          <w:b/>
        </w:rPr>
        <w:t>E. 2.1</w:t>
      </w:r>
    </w:p>
    <w:p>
      <w:r>
        <w:t>Die Gerichtsgebühr ist auf Fr. 3'000.00 zu veranschlagen (Art. 424 Abs. 1 StPO in Verbindung mit § 16 Abs. 1 und § 14 GebV OG).</w:t>
      </w:r>
    </w:p>
    <w:p>
      <w:r>
        <w:rPr>
          <w:b/>
        </w:rPr>
        <w:t>E. 2.2</w:t>
      </w:r>
    </w:p>
    <w:p>
      <w:r>
        <w:t>Die Kosten im Rechtsmittelverfahren tragen die Parteien nach Massgabe ihres Obsiegens oder Unterliegens (Art. 428 Abs. 1 StPO). Ob eine Partei im</w:t>
      </w:r>
    </w:p>
    <w:p>
      <w:r>
        <w:t>- 28 - Rechtsmittelverfahren als obsiegend oder unterliegend gilt, hängt davon ab, in welchem Ausmass ihre vor Beschwerdeinstanz bzw. Berufungsgericht gestell- ten Anträge gutgeheissen wurden (THOMAS DOMEISEN, in: Basler Kommentar, Schweizerische Strafprozessordnung, Bd. II, 2. Aufl. 2014, N. 6 zu Art. 428 StPO). Der Beschuldigte richtete sich mit seiner Berufung primär gegen den Schuld- spruch sowie die angeordnete Landesverweisung und unterliegt im Berufungs- verfahren mit sämtlichen Anträgen vollumfänglich. Ausgangsgemäss sind ihm die Kosten des Berufungsverfahrens, mit Ausnahme der Kosten der amtlichen Verteidigung, aufzuerlegen (Art. 428 Abs. 1 StPO). Die Kosten der amtlichen Verteidigung für das Berufungsverfahren sind auf die Gerichtskasse zu nehmen. Eine allfällige Rückerstattungspflicht bleibt vorbehalten (Art. 135 Abs. 4 StPO).</w:t>
      </w:r>
    </w:p>
    <w:p>
      <w:r>
        <w:rPr>
          <w:b/>
        </w:rPr>
        <w:t>E. 2.3</w:t>
      </w:r>
    </w:p>
    <w:p>
      <w:r>
        <w:t>Die amtliche Verteidigung macht im Berufungsverfahren einen Aufwand von Fr. 9'477.65 (inkl. MwSt.) geltend (Urk. 52). Angesichts § 18 Abs. 1 i.V.m. § 17 Abs. 1 lit. a der Gebührenverordnung und des darin für Einzelrichterfälle vorgesehenen Maximalbetrags ist Rechtsanwalt lic. iur. HSG X._____ für seine Aufwendungen im Berufungsverfahren pauschal und gesamthaft mit Fr. 8'000.– (inkl. Auslagen und MwSt.) zu entschädigen. Es wird beschlossen: 1. Es wird festgestellt, dass das Urteil des Bezirksgerichts Winterthur, Einzel- gericht, vom 18. Juni 2021 wie folgt in Rechtskraft erwachsen ist: "Es wird erkannt: 1.-7. …</w:t>
      </w:r>
    </w:p>
    <w:p>
      <w:r>
        <w:rPr>
          <w:b/>
        </w:rPr>
        <w:t>E. 3</w:t>
      </w:r>
    </w:p>
    <w:p>
      <w:r>
        <w:t>Juli 2020 (Urk. 3/1) ist mit der Vorinstanz festzuhalten, dass die Geschädigte bei der Einvernahme vom 28. Oktober 2020 ausdrücklich auf jene erste Befra- gung bei der Polizei angesprochen und dazu befragt wurde. Dem anwaltlich ver-</w:t>
      </w:r>
    </w:p>
    <w:p>
      <w:r>
        <w:t>- 8 - tretenen Beschuldigten war es zudem möglich, diesbezüglich Ergänzungsfragen zu stellen und seine Verteidigungsrechte auszuüben (Urk. 3/5 F/A 37 ff.). Damit sind auch die am 3. Juli 2020 bei der Kantonspolizei Zürich getätigten Aussagen der Geschädigten verwertbar (so auch in Urk. 36 S. 8). Hinsichtlich der Verwertbarkeit der ersten polizeilichen Befragung der Geschädig- ten am 3. Juli 2020 irrt die Vorinstanz, wenn sie ausführt, diese Befragung sei wegen Verletzung des Teilnahmerechts des Beschuldigten nicht verwertbar (Urk. 36 S. 8 Erw. 2.6). Gemäss klarem Wortlaut von Art. 147 Abs. 1 StPO haben die Parteien nur bei staatsanwaltlichen Beweisaufnahmen ein Recht auf Teilnah- me. Die polizeilichen Befragungen einer Geschädigten können ohne Anwesenheit des Beschuldigten durchgeführt werden, es sei denn, es handle sich um eine durch die Staatsanwaltschaft an die Polizei delegierte Einvernahme, was vor- liegend nicht der Fall war (Schmid/Jositsch, Handbuch des schweizerischen Strafprozessrechts, 3. Aufl., Zürich/St. Gallen 2017, S. 324 Rz 821). Die Vo- rinstanz verwechselt das Teilnahmerecht mit dem Recht des Beschuldigten, im Rahmen einer späteren Konfrontationseinvernahme Ergänzungsfragen zu stellen. Diese Gelegenheit hatten der Beschuldigte und sein Verteidiger anlässlich der de- legierten Videoeinvernahme der Geschädigten vom 28. Oktober 2020 (Urk. 3/4 und 3/5). 3.3.1. Weiter brachte die amtliche Verteidigung wie vor erster Instanz zusam- mengefasst vor, die Geschädigte habe ihre Aussagen nicht gestützt auf ihre Erin- nerungen gemacht, sondern ihre Aussagen seien grösstenteils das Produkt der Vorbereitung mit und durch die Eltern der Geschädigten. Art. 143 Abs. 6 StPO sei verletzt, weshalb die Aussagen der Geschädigten auch unter diesem Gesichts- punkt nicht verwertbar seien (Urk. 28 S. 4 ff., Urk. 51 S. 9 ff.). 3.3.2. Die Vorinstanz hielt fest, dass die einzuvernehmende Person gemäss Art. 143 Abs. 6 StPO ihre Aussagen aufgrund ihrer Erinnerung macht. Die Ge- schädigte sei zu Beginn der Einvernahme vom 28. Oktober 2020 angehalten wor- den, sich an die Wahrheit zu halten und niemanden falsch zu beschuldigen, was diese zustimmend zur Kenntnis genommen habe. Die Geschädigte habe ausge- sagt, sich am Tag der ersten Einvernahme genau erinnert zu haben und sich bei</w:t>
      </w:r>
    </w:p>
    <w:p>
      <w:r>
        <w:t>- 9 - der zweiten Einvernahme, rund dreieinhalb Monate später, immer noch zu erin- nern, aber nicht mehr so genau wie ursprünglich. Gemäss den eigenen Aussagen der Geschädigten habe sie aufgrund ihrer Erinnerung ausgesagt. Aus den Bei- spielen, welche die amtliche Verteidigung heranziehe, um die Unverwertbarkeit der Aussagen der Geschädigten zu belegen, sei nichts anderes abzuleiten. Es sei notorisch, dass ein Kind von zwölf Jahren einem gewissen Einfluss der Eltern un- terstehe, was nicht mit einer Beeinflussung zu verwechseln sei. So sei es bei- spielsweise ohne Weiteres nachvollziehbar, dass ein zwölfjähriges Mädchen von ihren Eltern dazu motiviert werde, einen Schulsportkurs zu besuchen, oder von diesen angehalten werde, zur Polizei zu gehen, wenn die Tochter ihnen von un- erwünschten sexuellen Handlungen erzähle. Dass im familiären Rahmen bespro- chen werde, wie man mit einem solchen Vorfall umgehen wolle, und einem Kind aufgezeigt werde, weshalb eine Anzeigeerstattung der richtige Weg sein könne, sowie dass man das Kind zu einer Einvernahme begleite, erscheine dabei als na- türliche Schlussfolgerung. Im Übrigen entspreche es hinsichtlich Art. 301 ZGB auch der Pflicht von Eltern, für ihre Kinder zu sorgen und für sie – unter Vorbehalt der eigenen Handlungsfähigkeit der Kinder – Entscheidungen zu treffen. Die Kritik der Verteidigung betreffend die Beeinflussung der Geschädigten durch die Eltern erscheine damit als übertrieben und ungerechtfertigt. Das Alter der Geschädigten und die damit einhergehende Stellung ihrer Eltern im Vorverfahren seien für die strafprozessuale Verwertbarkeit ihrer Aussagen nicht relevant, sondern seien – wenn überhaupt – erst bei der inhaltlichen Würdigung ihrer Aussagen zu berück- sichtigen. Diese korrekten Erwägungen der Vorinstanz sind zu übernehmen (Urk. 36 S. 8 f. mit weiteren Verweisen). Ergänzend ist festzuhalten, dass die von der Geschädigten teilweise gewählt wirkenden, gebrauchten Begriffe und Formulie- rungen vor dem Hintergrund der sprachlichen Herkunft der Zwölfjährigen nicht er- staunen mögen. Zudem wurde die Geschädigte auch mit Fragen konfrontiert, welche sie nicht mit den Eltern zusammen antizipieren konnte. 3.3.3. Mit der Vorinstanz wie auch der Verteidigung ist ferner festzuhalten, dass Zeugen nicht zu kontaktieren und schon gar nicht zu beeinflussen sind (Urk. 36 S. 9, vgl. Urk. 51 S. 14). Dass der Vater der Geschädigten den Trainer des Schul- sportkurses kontaktierte, nachdem ihm seine 12-jährige Tochter von unerwünsch-</w:t>
      </w:r>
    </w:p>
    <w:p>
      <w:r>
        <w:t>- 10 - ten sexuellen Handlungen während des Kurses erzählt hatte, ist mit der Vo- rinstanz nachvollziehbar (Urk. 36 S. 9). Da der kontaktierte Trainer C._____ keine Aussagen zum eigentlichen Tatvorwurf tätigte und damit eine allfällige Beein- flussung seitens des Vaters der Geschädigten keine Auswirkung zuungunsten des Beschuldigten hatte, trifft das Argument des Verteidigers ins Leere.</w:t>
      </w:r>
    </w:p>
    <w:p>
      <w:r>
        <w:rPr>
          <w:b/>
        </w:rPr>
        <w:t>E. 3.1</w:t>
      </w:r>
    </w:p>
    <w:p>
      <w:r>
        <w:t>Was das Tatverschulden anbelangt, so ist in objektiver Hinsicht festzuhalten, dass ein erheblicher Altersunterschied zum damals 32-jährigen Beschuldigten und damit ein grosses Machtgefälle bestand. Diesen Umstand nutzte der Be- schuldigte aus, wie auch dass der eigentliche Trainer des Sportkurses abwesend war und nur zwei Kinder zum Training erschienen, welche dann ihm als Aushilfs- lehrer unterstanden. Ebenso wirkt sich verschuldensmässig erschwerend aus, dass die Handlungen des Beschuldigten alles andere als einvernehmlich, sondern überraschend und hinterrücks passierten, und dass diese bei der Geschädigten grosses Unbehagen auslösten und sie über längere Zeit belasteten. Schliesslich</w:t>
      </w:r>
    </w:p>
    <w:p>
      <w:r>
        <w:t>- 19 - sind auch die vorinstanzlichen Erwägungen zu übernehmen, wonach die vom Be- schuldigten verübten Handlungen im Vergleich zu allen möglichen bzw. denkba- ren sexuellen Handlungen nicht sehr schwer wiegen und diese während einer vergleichsweise kurzen Dauer stattfanden. Das Verschulden ist als leicht zu quali- fizieren (Urk. 36 S. 34).</w:t>
      </w:r>
    </w:p>
    <w:p>
      <w:r>
        <w:rPr>
          <w:b/>
        </w:rPr>
        <w:t>E. 3.2</w:t>
      </w:r>
    </w:p>
    <w:p>
      <w:r>
        <w:t>Bezüglich der subjektiven Tatschwere ist festzuhalten, dass der Beschuldig- te mit direktem Vorsatz handelte und die Absicht verfolgte, seine eigene Lust zu befriedigen ohne Rücksicht auf das Wohlergehen der Geschädigten (vgl. auch Urk. 36 S. 35). Dass es sich um eine spontane Aktion des Beschuldigten handel- te, resp. er die Tat nicht geplant hatte, ist entgegen der Ansicht der Vorinstanz nicht einfach anzunehmen, könnte er sich entsprechende Handlungen doch für den Fall einer günstigen Gelegenheit zuvor ausgedacht haben. Das objektive Tat- verschulden ist deshalb nicht zu relativieren.</w:t>
      </w:r>
    </w:p>
    <w:p>
      <w:r>
        <w:rPr>
          <w:b/>
        </w:rPr>
        <w:t>E. 3.3</w:t>
      </w:r>
    </w:p>
    <w:p>
      <w:r>
        <w:t>Insgesamt bleibt es aber bei einem leichten Tatverschulden, weshalb die Strafe im unteren Drittel des Strafrahmens anzusiedeln ist. Die hypothetische Einsatzstrafe ist auf 9 Monate festzusetzen.</w:t>
      </w:r>
    </w:p>
    <w:p>
      <w:r>
        <w:rPr>
          <w:b/>
        </w:rPr>
        <w:t>E. 3.4</w:t>
      </w:r>
    </w:p>
    <w:p>
      <w:r>
        <w:t>Zu den Vorbringen der Verteidigung, der Verzicht der Geschädigten auf die Stellung eines Strafantrags sei als Desinteresseerklärung zu werten, weshalb das Verfahren einzustellen sei (Urk. 51 S. 14), ist mit der Vorinstanz Folgendes festzuhalten (Urk. 36 S. 10): Die Geschädigte erklärte in den Einvernahmen klar, dass sie den Beschuldigten aus der Anonymität holen und verhindern wolle, dass so etwas auch anderen Kindern passiere (Urk. 3/1 F/A 49 f., Urk. 3/5 F/A 160 f.). Damit kann keine sinngemässe Desinteresseerklärung angenommen werden. Ei- ne solche würde zudem auch nur dann zur Einstellung des Verfahrens führen, wenn ein geringes Strafverfolgungsinteresse vorliegt. Da vorliegend jedoch nicht mehr von einem geringen öffentlichen Interesse an der Strafverfolgung ausge- gangen werden kann, wäre eine Desinteresseerklärung ohnehin unbeachtlich. Mit der Vorinstanz ist daraus der Schluss zu ziehen, dass der Verzicht der Geschä- digten auf Strafantrag unbeachtlich und das Delikt von Amtes wegen zu verfolgen ist.</w:t>
      </w:r>
    </w:p>
    <w:p>
      <w:r>
        <w:rPr>
          <w:b/>
        </w:rPr>
        <w:t>E. 4</w:t>
      </w:r>
    </w:p>
    <w:p>
      <w:r>
        <w:t>Täterkomponente</w:t>
      </w:r>
    </w:p>
    <w:p>
      <w:r>
        <w:rPr>
          <w:b/>
        </w:rPr>
        <w:t>E. 4.1</w:t>
      </w:r>
    </w:p>
    <w:p>
      <w:r>
        <w:t>Was den Lebenslauf und die persönlichen Verhältnisse des Beschuldigten anbelangt, kann grundsätzlich auf die Ausführungen der Vorinstanz mit weiteren Verweisen (Urk. 36 S. 35 f.) verwiesen werden. Ergänzend führte der Beschuldig- te an der Berufungsverhandlung im Wesentlichen aus, als Reinigungsmitarbeiter fix angestellt zu sein und Fr. 21.– pro Stunde zu verdienen, resp. Fr. 3'700 bis Fr. 3'800.– zur Verfügung zu haben. Den Namen der Arbeitgeberin wollte der Beschuldigte nicht nennen (Urk. 50 S. 3 f.). Ferner gab der Beschuldigte an, zusammen mit zwei Kollegen in einer Wohngemeinschaft zu wohnen und dabei die Hälfte des Mietzinses von insgesamt Fr. 1'540.– zu bezahlen (Urk. 50 S. 5). Die Vorinstanz erwog hierzu korrekt, dass die persönlichen Verhältnisse des Beschuldigten nicht ins Gewicht fallen und strafzumessungsneutral zu beurteilen sind (Urk. 36 S. 36). Der Umstand, dass der Beschuldigte weder zuvor als Sexu-</w:t>
      </w:r>
    </w:p>
    <w:p>
      <w:r>
        <w:t>- 20 - alstraftäter, noch als Pädophiler in Erscheinung getreten ist, noch Kontakt zu entsprechenden Szenen pflegt, kann entgegen der Meinung der Verteidigung (Urk. 51 S. 36) nicht strafmindernd berücksichtigt werden, zumal von jedem Menschen erwartet werden darf, dass sich dieser korrekt verhält.</w:t>
      </w:r>
    </w:p>
    <w:p>
      <w:r>
        <w:rPr>
          <w:b/>
        </w:rPr>
        <w:t>E. 4.2</w:t>
      </w:r>
    </w:p>
    <w:p>
      <w:r>
        <w:t>Den Umstand, dass der Beschuldigte über zwei nicht einschlägige Vorstra- fen verfügt (Urk. 40), erachtete die Vorinstanz zutreffend als marginal straferhö- hend (Urk. 36 S. 36).</w:t>
      </w:r>
    </w:p>
    <w:p>
      <w:r>
        <w:rPr>
          <w:b/>
        </w:rPr>
        <w:t>E. 4.3</w:t>
      </w:r>
    </w:p>
    <w:p>
      <w:r>
        <w:t>Den Ausführungen der Vorinstanz bezüglich fehlender Reue oder Einsicht mangels Geständnisses kann beigepflichtet werden; dieser Umstand ist strafzu- messungsneutral zu werten (Urk. 36 S. 36).</w:t>
      </w:r>
    </w:p>
    <w:p>
      <w:r>
        <w:rPr>
          <w:b/>
        </w:rPr>
        <w:t>E. 5</w:t>
      </w:r>
    </w:p>
    <w:p>
      <w:r>
        <w:t>Unter Berücksichtigung der massgeblichen Strafzumessungsfaktoren (Vorstrafen) erscheint dem Verschulden und den persönlichen Verhältnissen des Beschuldigten die von der Vorinstanz ausgesprochene Strafe von 10 Monaten angemessen. Eine höhere Sanktion ist aufgrund des Verschlechterungsverbots nicht möglich.</w:t>
      </w:r>
    </w:p>
    <w:p>
      <w:r>
        <w:rPr>
          <w:b/>
        </w:rPr>
        <w:t>E. 5.1</w:t>
      </w:r>
    </w:p>
    <w:p>
      <w:r>
        <w:t>Der Beschuldigte wurde im Jahr 1987 im heutigen Nordmazedonien gebo- ren, wo er nach Schulabschluss eine Lehre als Mechaniker absolvierte. Im Alter von 23 Jahren kam er in die Schweiz, um hier eine Frau mit Schweizer Pass zu heiraten. Die Ehe dauerte bis 2017 und blieb kinderlos. Seit 2018 hatte der</w:t>
      </w:r>
    </w:p>
    <w:p>
      <w:r>
        <w:t>- 24 - Beschuldigte eine Freundin, resp. Verlobte, welche im Kosovo lebte, jedoch Ende 2021 bei einem Busunglück verstarb. In der Schweiz hat der Beschuldigte einen Onkel und dessen Familie im Kanton St. Gallen. Seine Eltern, seine Schwester, mehrere Cousins und Onkel sowie Freunde leben nach wie vor in Nordmazedoni- en. Gemäss seinen Aussagen pflegt der Beschuldigte sowohl zu seiner Familie in Nordmazedonien als auch zu seinen Verwandten in der Schweiz Kontakt. Er verfügt über die Niederlassungsbewilligung C (Urk. 8/10 S. 2 f., Urk. 24/1; Prot. I S. 16-18; Urk. 50 S. 1 ff.). Die Ausführungen der Vorinstanz betreffend den beruflichen Werdegang des Beschuldigten (Urk. 36 S. 42 mit weiteren Verweisen) können übernommen werden. Demnach arbeitete der Beschuldigte in der Schweiz bei verschiedenen Arbeitgebern, allerdings nicht – wie dies der Lebenslauf (Urk. 24/2) suggeriert – lückenlos. So erklärte der Beschuldigte an der Hauptverhandlung, nie bei "H._____" tätig gewesen zu sein, sondern dies in seinem Lebenslauf lediglich aufgeführt zu haben, um zu zeigen, dass er auch Arbeiten wie Umzüge und Transporte erledigen könne. Von 2018 bis 2019 war der Beschuldigte bei der Fir- ma I._____ im Stundenlohn angestellt. Ab November 2019 war der Beschuldigte arbeitslos und erhielt von der Arbeitslosenkasse Fr. 1'850.– für sich und ein weite- rer Teil des Arbeitslosengeldes wurde direkt vom Betreibungsamt eingezogen. An der staatsanwaltschaftlichen Einvernahme vom 13. Januar 2021 gab der Be- schuldigte an, ihm sei per Februar 2021 eine Stelle in der Reinigung bei der Firma J._____ in E._____ versprochen worden (Urk. 8/10 S. 4). An der Hauptverhand- lung vom 18. Juni 2021 erklärte der Beschuldigte jedoch unter Vorlage entspre- chender Unterlagen, immer noch arbeitslos zu sein (Urk. 27). Erneut gab er an, eine Stelle für die folgende Woche in Aussicht zu haben, diesmal bei den K._____ (Prot. I S. 18 und 24). Der Beschuldigte war in der Vergangenheit bereits während fünf Monaten arbeitslos und wurde von Februar 2017 bis Januar 2018 sowie ab Februar 2018 vom Sozialamt unterstützt (Prot. I S. 19; Urk. 36 S. 42). Gemäss vor der Berufungsverhandlung eingereichter Unterlagen war der Beschuldigte in den Monaten Juli bis November 2021 bei der L._____ AG als Spezialreiniger ange- stellt und bezog ein Gehalt von netto Fr. 2'723 bis Fr. 3'842 (Urk. 49/2-7). Heute</w:t>
      </w:r>
    </w:p>
    <w:p>
      <w:r>
        <w:t>- 25 - ist der Beschuldigte offenbar nach wie vor fix angestellt und verdient zwischen Fr. 3'700 und Fr. 3'800.</w:t>
      </w:r>
    </w:p>
    <w:p>
      <w:r>
        <w:rPr>
          <w:b/>
        </w:rPr>
        <w:t>E. 5.2</w:t>
      </w:r>
    </w:p>
    <w:p>
      <w:r>
        <w:t>Aufgrund des Ausgeführten ist festzuhalten, dass der Beschuldigte nicht nur seine prägenden Kinder- und Jugendjahre, sondern auch sein Leben als junger Erwachsener in Nordmazedonien verbrachte. Durch seine Eltern, Schwester und weiteren Verwandten sowie Freunde hat er nach wie vor einen starken Bezug zu seinem Heimatland. Seit seiner Scheidung verfügt der Beschuldigte, abgesehen von einem Onkel und weiter entfernten Verwandten, über keine Familie in der Schweiz (so auch Vorinstanz, Urk. 36 S. 43). Hinsichtlich seiner beruflichen In- tegration ist festzuhalten, dass der Beschuldigte seine jeweilige Stelle nie lange halten konnte, zuletzt von 2019 bis Mitte 2021 ohne Arbeit war und über Schulden in der Höhe von aktuell Fr. 41'000 verfügt (Urk. 49/2, Urk. 50 S. 3 f. und S. 9). Mit der Vorinstanz ist schliesslich festzuhalten, dass der Beschuldigte seit seiner Scheidung keinen wesentlichen Bezug zur Schweiz mehr aufweist (Urk. 36 S. 43).</w:t>
      </w:r>
    </w:p>
    <w:p>
      <w:r>
        <w:rPr>
          <w:b/>
        </w:rPr>
        <w:t>E. 5.3</w:t>
      </w:r>
    </w:p>
    <w:p>
      <w:r>
        <w:t>Der Beschuldigte ist demzufolge mit seinem Herkunftsland kulturell, sprach- lich und persönlich enger verwurzelt als mit der Schweiz. Daran vermag auch eine berufliche Tätigkeit nichts zu ändern (vgl. Urteil des Bundesgerichts 6B_19/2021 Erw. 4.2.1. vom 27. September 2021). Dem noch jungen Beschuldigten ist es oh- ne weiteres zuzumuten, sich in seiner Heimat wieder einzuleben, seinen erlernten Beruf wieder aufzunehmen, resp. allfällige in der Schweiz erworbenen Fähigkei- ten anzuwenden und sich sozial zu integrieren. Der Umstand, dass ein Leben in der Schweiz vor allem wirtschaftlich komfortabler sein dürfte als in Nordmazedo- nien, begründet keinen Härtefall. Nach dem Ausgeführten ist klar, dass von einem schweren persönlichen Härtefall im Sinne von Art. 66a nicht die Rede sein kann.</w:t>
      </w:r>
    </w:p>
    <w:p>
      <w:r>
        <w:rPr>
          <w:b/>
        </w:rPr>
        <w:t>E. 6</w:t>
      </w:r>
    </w:p>
    <w:p>
      <w:r>
        <w:t>Liegt kein schwerer persönlicher Härtefall vor, erübrigt sich eine weitere Interessenabwägung nach dem Gesetz (Urteil 6B_548/2020 vom 4. Februar 2021 Erw. 5.5.).</w:t>
      </w:r>
    </w:p>
    <w:p>
      <w:r>
        <w:t>- 26 -</w:t>
      </w:r>
    </w:p>
    <w:p>
      <w:r>
        <w:rPr>
          <w:b/>
        </w:rPr>
        <w:t>E. 7</w:t>
      </w:r>
    </w:p>
    <w:p>
      <w:r>
        <w:t>Die Voraussetzungen für ein Absehen von der Landesverweisung gemäss Art. 66a Abs. 2 StGB sind demzufolge nicht erfüllt. Der Beschuldigte ist in Anwen- dung von Art. 66a Abs. 1 lit. h StGB des Landes zu verweisen.</w:t>
      </w:r>
    </w:p>
    <w:p>
      <w:r>
        <w:rPr>
          <w:b/>
        </w:rPr>
        <w:t>E. 8</w:t>
      </w:r>
    </w:p>
    <w:p>
      <w:r>
        <w:t>Die folgenden, mit Verfügung der Staatsanwaltschaft I des Kantons Zürich vom 18. Januar 2021 beschlagnahmten und bei der Kantonspolizei Zürich, Asservaten- Triage, aufbewahrten Gegenstände werden nach Eintritt der Rechtskraft dieses Ur- teils freigegeben und der Geschädigten, B._____, geb. tt.mm.2007, auf erstes Ver- langen herausgegeben: − Sportshirt (A013'954'137);</w:t>
      </w:r>
    </w:p>
    <w:p>
      <w:r>
        <w:t>- 29 - − Sporthose (A013'954'126). Der Geschädigten wird eine Frist von 30 Tagen ab Eintritt der Rechtskraft dieses Ur- teils angesetzt, um die herauszugebenden Gegenstände selbst (oder durch eine be- vollmächtigte bzw. zur Vertretung berechtigte Person [bspw. Inhaber der elterlichen Sorge]) unter Vorlage dieses Urteils und eines amtlichen Ausweises, nach telefoni- scher Voranmeldung, bei der vorgenannten Lagerbehörde abzuholen. Werden die herauszugebenden Gegenstände nicht innert Frist abgeholt, werden sie vernichtet. Die Lagerbehörde wird angewiesen, diese Anordnung innert 30 Tagen zu vollziehen und zu dokumentieren.</w:t>
      </w:r>
    </w:p>
    <w:p>
      <w:r>
        <w:rPr>
          <w:b/>
        </w:rPr>
        <w:t>E. 9</w:t>
      </w:r>
    </w:p>
    <w:p>
      <w:r>
        <w:t>Von der Abnahme einer DNA-Probe und der Erstellung eines DNA-Profils im Sinne von Art. 5 des DNA-Profil-Gesetzes wird abgesehen.</w:t>
      </w:r>
    </w:p>
    <w:p>
      <w:r>
        <w:rPr>
          <w:b/>
        </w:rPr>
        <w:t>E. 10</w:t>
      </w:r>
    </w:p>
    <w:p>
      <w:r>
        <w:t>Die Entscheidgebühr wird angesetzt auf: Fr. 1'800.00 ; die weiteren Kosten betragen: Fr. 2'000.00 Gebühr für das Vorverfahren; Fr. 15'140.45 Kosten amtliche Verteidigung (inkl. Auslagen und MwSt.); Fr. 18'940.45 Total. Allfällige weitere Kosten bleiben vorbehalten.</w:t>
      </w:r>
    </w:p>
    <w:p>
      <w:r>
        <w:rPr>
          <w:b/>
        </w:rPr>
        <w:t>E. 11</w:t>
      </w:r>
    </w:p>
    <w:p>
      <w:r>
        <w:t>Mündliche Eröffnung und schriftliche Mitteilung im Dispositiv an − die amtliche Verteidigung im Doppel für sich und zuhanden des Beschuldigten (übergeben) − die Staatsanwaltschaft I des Kantons Zürich (überbracht) − den Inhaber der elterlichen Sorge über die Geschädigte (versandt)</w:t>
      </w:r>
    </w:p>
    <w:p>
      <w:r>
        <w:t>- 31 - − das Migrationsamt des Kantons Zürich (versandt) sowie in vollständiger Ausfertigung an − die amtliche Verteidigung im Doppel für sich und zuhanden des Beschuldigten − die Staatsanwaltschaft I des Kantons Zürich und nach unbenütztem Ablauf der Rechtsmittelfrist bzw. Erledigung allfälli- ger Rechtsmittel an − die Vorinstanz − das Migrationsamt des Kantons Zürich − die Koordinationsstelle VOSTRA/DNA mit Formular A und Formular B − die Staatsanwaltschaft Winterthur/Unterland, in die Akten Gesch.-Nr. B-6/2018/10024989 (Strafbefehl vom 7. August 2018) sowie die Staats- anwaltschaft Winterthur/Unterland, Zweigstelle Flughafen, in die Akten Gesch.-Nr. D-2/2018/10033418 (Strafbefehl vom 28. November 2018).</w:t>
      </w:r>
    </w:p>
    <w:p>
      <w:r>
        <w:rPr>
          <w:b/>
        </w:rPr>
        <w:t>E. 12</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- 32 - Obergericht des Kantons Zürich I. Strafkammer Zürich, 20. Januar 2022 Der Präsident: Die Gerichtsschreiberin: lic. iur. Ch. Prinz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