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SB210471 vom 21. März 2022</w:t>
      </w:r>
    </w:p>
    <w:p>
      <w:r>
        <w:t>ZH Obergericht, 2022-03-21, DE</w:t>
      </w:r>
    </w:p>
    <w:p>
      <w:r>
        <w:rPr>
          <w:b/>
        </w:rPr>
        <w:t xml:space="preserve">Quelle: </w:t>
      </w:r>
      <w:r>
        <w:t>https://mcp.opencaselaw.ch/entscheid/zh_obergericht_SB210471</w:t>
      </w:r>
    </w:p>
    <w:p>
      <w:r>
        <w:t>FR: ZH_OBERGERICHT SB210471 du 21 mars 2022</w:t>
      </w:r>
    </w:p>
    <w:p>
      <w:r>
        <w:t>IT: ZH_OBERGERICHT SB210471 del 21 marzo 2022</w:t>
      </w:r>
    </w:p>
    <w:p>
      <w:pPr>
        <w:pStyle w:val="Heading2"/>
      </w:pPr>
      <w:r>
        <w:t>Erwägungen</w:t>
      </w:r>
    </w:p>
    <w:p>
      <w:r>
        <w:rPr>
          <w:b/>
        </w:rPr>
        <w:t>E. 1</w:t>
      </w:r>
    </w:p>
    <w:p>
      <w:r>
        <w:t>Verfahrensgang</w:t>
      </w:r>
    </w:p>
    <w:p>
      <w:r>
        <w:rPr>
          <w:b/>
        </w:rPr>
        <w:t>E. 1.1</w:t>
      </w:r>
    </w:p>
    <w:p>
      <w:r>
        <w:t>Das Bezirksgericht Horgen, Einzelgericht, sprach den Beschuldigten mit Urteil vom 18. Mai 2021 anklagegemäss der Geldwäscherei im Sinne von Art. 305bis Ziff. 1 StGB, der Gehilfenschaft zur Geldwäscherei im Sinne von Art. 305bis Ziff. 1 in Verbindung mit Art. 25 StGB und des Überlassens eines Mo- torfahrzeuges an einen Führer ohne erforderlichen Ausweis im Sinne von Art. 95 Abs. 1 lit. e SVG schuldig. Es bestrafte den Beschuldigten mit einer bedingten Geldstrafe von 60 Tagessätzen zu Fr. 80.–, unter Anrechnung eines Tagessatzes als durch Haft geleistet und unter Ansetzung einer Probezeit von 3 Jahren (Urk. 41). Die Verteidigung meldete mit Eingabe vom 28. Mai 2021 fristgerecht Berufung an (Urk. 36 f.) und reichte mit Eingabe vom 13. September 2021 fristge- recht die Berufungserklärung ein (Art. 399 Abs. 3 StPO; Urk. 43 und 40/2).</w:t>
      </w:r>
    </w:p>
    <w:p>
      <w:r>
        <w:rPr>
          <w:b/>
        </w:rPr>
        <w:t>E. 1.2</w:t>
      </w:r>
    </w:p>
    <w:p>
      <w:r>
        <w:t>Mit Präsidialverfügung vom 15. September 2021 wurde der Staatsanwalt- schaft Limmattal / Albis (nachfolgend: Staatsanwaltschaft) eine Kopie der Beru- fungserklärung zugestellt und ihr Frist angesetzt, um Anschlussberufung zu erhe- ben oder ein Nichteintreten auf die Berufung zu beantragen. Weiter wurde dem Beschuldigten Frist angesetzt, um das ausgefüllte Formular "Datenerfassungs- blatt" samt erforderlicher Unterlagen einzureichen (Urk. 45). Mit Eingabe vom 30. September 2021 beantragte die Staatsanwaltschaft die Bestätigung des vor- instanzlichen Urteils (Urk. 47). Der Beschuldigte kam der Aufforderung zur Einrei- chung der Unterlagen mit Eingabe vom 6. Oktober 2021 nach (Urk. 49 und 50/1-6) und reichte das Formular mit Eingabe vom 15. Oktober 2021 ein (51/1-2). Mit letzterer Eingabe beantragte der Beschuldigte zudem die Durchführung des schriftlichen Verfahrens. Die Staatsanwaltschaft erklärte sich mit E-Mail vom 29. Oktober 2021 damit einverstanden (Urk. 52).</w:t>
      </w:r>
    </w:p>
    <w:p>
      <w:r>
        <w:rPr>
          <w:b/>
        </w:rPr>
        <w:t>E. 1.3</w:t>
      </w:r>
    </w:p>
    <w:p>
      <w:r>
        <w:t>Nachdem mit Präsidialverfügung vom 29. Oktober 2021 das schriftliche Verfahren angeordnet worden war (Urk. 53), liess der Beschuldigte mit Eingabe vom 22. November 2021 fristgerecht die Berufungsbegründung einreichen</w:t>
      </w:r>
    </w:p>
    <w:p>
      <w:r>
        <w:t>- 5 - (Urk. 55). Mit Präsidialverfügung vom 24. November 2021 wurden die Doppel der Berufungsbegründung der Staatsanwaltschaft zur Erstattung der Berufungsant- wort und der Vorinstanz zur freigestellten Vernehmlassung zugestellt (Urk. 56). Mit Stempelverfügung vom 29. November 2021 verzichtete die Vorinstanz auf Vernehmlassung (Urk. 58). Die Staatsanwaltschaft erstattete mit gleichentags er- gangener Eingabe die Berufungsantwort (Urk. 59). Nach Zustellung der Beru- fungsantwort an den Beschuldigten mittels Präsidialverfügung vom 1. Dezember 2021 (Urk. 60) liess sich dieser innert Frist nicht vernehmen.</w:t>
      </w:r>
    </w:p>
    <w:p>
      <w:r>
        <w:rPr>
          <w:b/>
        </w:rPr>
        <w:t>E. 2</w:t>
      </w:r>
    </w:p>
    <w:p>
      <w:r>
        <w:t>Umfang der Berufung</w:t>
      </w:r>
    </w:p>
    <w:p>
      <w:r>
        <w:rPr>
          <w:b/>
        </w:rPr>
        <w:t>E. 2.1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w:t>
      </w:r>
    </w:p>
    <w:p>
      <w:r>
        <w:rPr>
          <w:b/>
        </w:rPr>
        <w:t>E. 2.2</w:t>
      </w:r>
    </w:p>
    <w:p>
      <w:r>
        <w:t>Der Beschuldigte ficht einzig die Dispositiv-Ziffer 2 des Urteils des Bezirks- gerichtes Horgen, Einzelgericht, vom 18. Mai 2021 an. Er beantragt, auf eine Be- strafung wegen Geldwäscherei bzw. Gehilfenschaft hierzu sei zu verzichten, und bezüglich der Übertretung des Strassenverkehrsgesetzes sei eine Busse von Fr. 400.– auszufällen (Urk. 43). Fraglich ist, ob bei der Geltendmachung eines Strafbefreiungsgrundes der Schuldspruch auch zu überprüfen ist. Gemäss bun- desgerichtlicher Rechtsprechung muss das Gericht, wenn es einen Anwendungs- fall von Strafbefreiung (Art. 52 bis 54 StGB) als gegeben erachtet, im Hauptver- fahren zuerst prüfen, ob und inwiefern der eingeklagte Sachverhalt erstellt ist und einen Straftatbestand erfüllt. Gegebenenfalls ist die beschuldigte Person schuldig zu sprechen, und es ist in einem zweiten Schritt im Rahmen der Prüfung der Sanktion von einer Bestrafung abzusehen (BGE 139 IV 220 E. 3.4.5). Nachdem die bundesgerichtliche Rechtsprechung die Frage der Sachverhaltserstellung und der Tatbestandsmässigkeit somit von der Frage der Sanktionierung bzw. Strafbe- freiung trennt, ist eine Überprüfung der Tatbestandsmässigkeit nicht angebracht und die Frage der Strafbefreiung – entsprechend dem Antrag des Beschuldigten – im Rahmen der Sanktion zu prüfen (vgl. ebenso für viele: OGer ZH SB200210-O vom 13. November 2020, E. I.2; SB210253-O vom 23. August 2021, E. III.1.).</w:t>
      </w:r>
    </w:p>
    <w:p>
      <w:r>
        <w:t>- 6 - Damit ist der Schuldspruch der Vorinstanz (Dispositiv-Ziffer 1) ebenso in Rechts- kraft erwachsen, wie die Dispositiv-Ziffern 4 (Herausgabe beschlagnahmte Ge- genstände), 5 und 6 (Kostendispositiv), was mittels Beschluss festzuhalten ist.</w:t>
      </w:r>
    </w:p>
    <w:p>
      <w:r>
        <w:rPr>
          <w:b/>
        </w:rPr>
        <w:t>E. 3</w:t>
      </w:r>
    </w:p>
    <w:p>
      <w:r>
        <w:t>Sanktion</w:t>
      </w:r>
    </w:p>
    <w:p>
      <w:r>
        <w:rPr>
          <w:b/>
        </w:rPr>
        <w:t>E. 3.1</w:t>
      </w:r>
    </w:p>
    <w:p>
      <w:r>
        <w:t>Strafbefreiung</w:t>
      </w:r>
    </w:p>
    <w:p>
      <w:r>
        <w:rPr>
          <w:b/>
        </w:rPr>
        <w:t>E. 3.1.1</w:t>
      </w:r>
    </w:p>
    <w:p>
      <w:r>
        <w:t>Der Beschuldigte wurde von der Vorinstanz unter anderem der Geldwä- scherei im Sinne von Art. 305bis Ziff. 1 StGB und der Gehilfenschaft zur Geldwä- scherei im Sinne von Art. 305bis Ziff. 1 in Verbindung mit Art. 25 StGB rechtskräftig schuldig gesprochen. Dem Schuldspruch liegt folgender Sachverhalt zu Grunde: Der Beschuldigte stellte im Zeitraum vom 12. September 2017 bis 21. September 2018 dem Mitbeschuldigten C._____ (separates Verfahren) sein Kreditkartenkon- to zur Verfügung und ermöglichte diesem den Zugang dazu, indem er dem Mitbe- schuldigten seine Kreditkartendaten und zeitweise auch seine Kreditkarte samt PIN-Code überliess. Der Mitbeschuldigte, welcher als Arbeitnehmer der geschä- digten D._____ GmbH in der Abteilung "Chargeback" tätig war, führte auf dem Konto des Beschuldigten zulasten der Geschädigten ungerechtfertigte Gutschrif- ten von gesamthaft Fr. 22'997.95 aus. Zudem hob der Beschuldigte mindestens Fr. 2'000.– von den unberechtigten Gutschriften von diesem Konto in bar ab und übergab es dem Mitbeschuldigten (vgl. Urk. 28 S. 2-4).</w:t>
      </w:r>
    </w:p>
    <w:p>
      <w:r>
        <w:rPr>
          <w:b/>
        </w:rPr>
        <w:t>E. 3.1.2</w:t>
      </w:r>
    </w:p>
    <w:p>
      <w:r>
        <w:t>Wie die Vorinstanz bereits zutreffend subsumiert hat (Urk. 41 S. 10, vgl. auch Urteil des Bundesgerichts 6B_51/2021 vom 11. Juni 2021 E. 2), ist der An- trag auf Strafbefreiung nach aArt. 53 StGB in der zum Zeitpunkt der strafbaren Handlungen geltenden Fassung zu prüfen (vgl. Art. 2 StGB). Gemäss dieser Be- stimmung sieht die zuständige Behörde von einer Strafverfolgung, einer Überwei- sung an das Gericht oder einer Bestrafung ab, wenn der Täter den Schaden ge- deckt oder alle zumutbaren Anstrengungen unternommen hat, um das von ihm bewirkte Unrecht auszugleichen und darüber hinaus kumulativ (a) die Vorausset- zungen für die bedingte Strafe (Art. 42 StGB) erfüllt und (b) das Interesse der Öf- fentlichkeit und des Geschädigten an der Strafverfolgung gering sind.</w:t>
      </w:r>
    </w:p>
    <w:p>
      <w:r>
        <w:t>- 7 -</w:t>
      </w:r>
    </w:p>
    <w:p>
      <w:r>
        <w:rPr>
          <w:b/>
        </w:rPr>
        <w:t>E. 3.1.3</w:t>
      </w:r>
    </w:p>
    <w:p>
      <w:r>
        <w:t>Unstrittig und von der Geschädigten bestätigt ist, dass sie an der weiteren Strafverfolgung des Beschuldigten kein Interesse hat (Urk. D1/16/4), zumal dieser mit ihr eine Rückzahlungsvereinbarung in erheblichem Umfang geschlossen hat und die Rückzahlungen auch regelmässig leistet (vgl. Urk. D1/16/3 und 32). Der Beschuldigte erfüllt – mit der Vorinstanz (Urk. 41 S. 11) – deshalb auch die Vor- aussetzung, alle zumutbaren Anstrengungen zum Ausgleich des von ihm bewirk- ten Unrechts vorgenommen zu haben. Die Voraussetzung, dass ohne Strafbefrei- ung eine bedingte Strafe auszufällen wäre, ist ebenfalls ohne Weiteres erfüllt.</w:t>
      </w:r>
    </w:p>
    <w:p>
      <w:r>
        <w:rPr>
          <w:b/>
        </w:rPr>
        <w:t>E. 3.1.4</w:t>
      </w:r>
    </w:p>
    <w:p>
      <w:r>
        <w:t>Fraglich ist hingegen, ob ein erhebliches öffentliches Interesse an der Strafverfolgung gegeben ist. Mit der Vorinstanz ist festzuhalten, dass sich bei Straftaten wie der Geldwäscherei, welche sich nicht ausschliesslich gegen Indivi- dualinteressen richten, das öffentliche Strafverfolgungsinteresse in erster Linie danach bestimmt, ob es mit der Erbringung der Wiedergutmachung sein Bewen- den haben soll, oder ob sich unter Gesichtspunkten des Schuldausgleichs und der Prävention weitere strafrechtliche Reaktionen aufdrängen (Urteil des Bundes- gerichts 6B_51/2021 vom 11. Juni 2021 E. 2; BGE 135 IV 12 E. 3.4). Der Straftat- bestand der Geldwäscherei schützt dabei in erster Linie die Rechtspflege in der Durchsetzung des staatlichen Einziehungsanspruchs bzw. das öffentliche Interes- se an einem reibungslosen Funktionieren der Rechtspflege (BGE 145 IV 335 E 3.1).</w:t>
      </w:r>
    </w:p>
    <w:p>
      <w:r>
        <w:rPr>
          <w:b/>
        </w:rPr>
        <w:t>E. 3.1.5</w:t>
      </w:r>
    </w:p>
    <w:p>
      <w:r>
        <w:t>Die Vorinstanz stellt sich auf den Standpunkt, bereits aus dem Umstand, dass der Straftatbestand der Geldwäscherei nicht nur das Privatvermögen der Geschädigten, sondern in erster Linie, wie vorgenannt, den staatlichen Einzie- hungsanspruch schütze, ergebe sich ein erhebliches öffentliches Interesse. Zu- dem erscheine das Vorgehen, dass Gelder von einem Mitarbeitenden eines Fi- nanzdienstleisters auf ein Drittkonto übertragen bzw. gutgeschrieben und sodann in bar bezogen würden, ein durchaus geeignetes Vorgehen zu sein, um den sog. "paper trail" zu verwischen. Da dieses Vorgehen relativ einfach zu bewerkstelligen sei, bestehe aus generalpräventiver Sicht ein beachtliches Strafverfolgungsinte- resse.</w:t>
      </w:r>
    </w:p>
    <w:p>
      <w:r>
        <w:t>- 8 -</w:t>
      </w:r>
    </w:p>
    <w:p>
      <w:r>
        <w:rPr>
          <w:b/>
        </w:rPr>
        <w:t>E. 3.1.6</w:t>
      </w:r>
    </w:p>
    <w:p>
      <w:r>
        <w:t>Die Verteidigung bringt im Berufungsverfahren vor, der Beschuldigte aner- kenne durchaus, dass mit dem geschützten Rechtsgut des Tatbestandes der Geldwäscherei ein öffentliches Interesse betroffen sei. Doch seien vorliegend nicht primär generalpräventive Überlegungen angezeigt. Unter Zitierung des Bun- desgerichtsentscheids BGE 118 IV 350 führt die Verteidigung aus, generalpräven- tiven Überlegungen sei immer zumindest in dem Sinne Rechnung zu tragen, dass die Strafe geeignet sein müsse, die Allgemeinheit zu veranlassen, sich an die Strafrechtsnormen zu halten. Die Bestrafung des Beschuldigten wäre aber nicht oder jedenfalls kaum geeignet, um gleichartige Delikte zu verhindern, da der Be- schuldigte geglaubt habe, dem Mitbeschuldigten einen Freundschaftsdienst zu erweisen. Der Beschuldigte habe nicht im Entferntesten daran gedacht, dass er sich mit seinem Dienst der Geldwäscherei schuldig machen könnte. Er hätte ge- wiss zwar vorsichtiger sein sollen, allerdings handle es sich nicht um ein typisches Geldwäscherei-Delikt. Der Beschuldigte sei zudem nicht der einzige gewesen, der vom Mitbeschuldigten missbraucht worden sei, sondern auch die weiteren Mitbe- schuldigten E._____ und F._____ (separate Verfahren). Alle drei Beschuldigten seien gleichermassen vertrauensselig und hilfsbereit gewesen und hätten es an der notwendigen Vorsicht leider fehlen lassen. Der vorliegende Fall sollte damit nicht zu einer Bestrafung führen, sondern eher Anlass dazu sein, auch gegenüber einem vermeintlichen Freund misstrauisch zu sein und nicht mehr an das Gute in den Mitmenschen zu glauben. Dass dies aber keine positive Denkweise wäre, bedürfe keiner weiteren Begründung. Im Ergebnis liege ein sehr geringes öffentli- ches Interesse vor (Urk. 55 S. 6 ff.).</w:t>
      </w:r>
    </w:p>
    <w:p>
      <w:r>
        <w:rPr>
          <w:b/>
        </w:rPr>
        <w:t>E. 3.1.7</w:t>
      </w:r>
    </w:p>
    <w:p>
      <w:r>
        <w:t>Der Verteidigung ist zuzustimmen, dass die freundschaftliche Loyalität des Beschuldigten vom Mitbeschuldigten C._____ missbraucht worden ist. Es erhellt auch aus dem erstellten Sachverhalt, dass der Beschuldigte nicht aus egoisti- schen Motiven die Tathandlungen vornahm, sondern sich aufgrund der freund- schaftlichen Beziehung zum Mitbeschuldigten in ein Dilemma hineinmanövrierte. Allerdings war der Beschuldigte nicht einfach gutgläubig, schliesslich sah er auf den Abrechnungen die Belastungen aus den Wettspielen des Mitbeschuldigten sowie die entsprechenden Gutschriften. Er wusste erstelltermassen, dass der Mitbeschuldigte mit den Gutschriften seine Arbeitnehmerin schädigte (vgl. Urk. 41</w:t>
      </w:r>
    </w:p>
    <w:p>
      <w:r>
        <w:t>- 9 - S. 8; Urk. D1/12/1 S. 7). Gleichwohl liess er weder das Kartenkonto sperren noch zeigte er der Geschädigten auf, dass ihr Arbeitnehmer, der Mitbeschuldigte, sich an ihr bereicherte. Er wollte sich die Situation nicht eingestehen und hoffte, dass der Mitbeschuldigte dies wieder geradebiegen würde (vgl. Urk. D1/12/1 [Chataus- zug]; Urk. D1/10/1, F/A 65), obwohl der Mitbeschuldigte weiterhin Belastungen und Gutschriften vornahm. Entgegen der Verteidigung handelt es sich bei der Barauszahlung von Geldern über ein Drittkonto zudem um eine typische Tathand- lung der Geldwäscherei. Und der dritte Kontoinhaber ist dann erzwungenermas- sen, sofern er von den Tathandlungen Kenntnis hat, der typische Gehilfe.</w:t>
      </w:r>
    </w:p>
    <w:p>
      <w:r>
        <w:rPr>
          <w:b/>
        </w:rPr>
        <w:t>E. 3.1.8</w:t>
      </w:r>
    </w:p>
    <w:p>
      <w:r>
        <w:t>Nun hat der Beschuldigte zwar bemerkt, dass diese Gutschriften nicht rech- tens sind, hat aber gemäss Verteidigung nicht im Entferntesten daran gedacht, dass er sich mit der freundschaftlichen Loyalität zum Mitbeschuldigten selber auch der Geldwäscherei bzw. Gehilfenschaft strafbar machen könnte. Und er war nicht der Einzige, der dem Mitbeschuldigten half. Dies zeigt gerade auf, dass der Allgemeinheit zu verdeutlichen ist, dass von einem Kontoinhaber ominöse und (zumindest potentiell) illegale Geldverschiebungen auf seinem Konto nicht ver- heimlicht werden dürfen, sondern angezeigt bzw. gemeldet werden müssen. Es erscheint von erheblichem öffentlichen Interesse, die Allgemeinheit für die Gefah- ren der potentiellen Mithilfe bei Geldwäschereihandlungen zu sensibilisieren.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