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SB210401 vom 16. Juni 2022</w:t>
      </w:r>
    </w:p>
    <w:p>
      <w:r>
        <w:t>ZH Obergericht, 2022-06-16, DE</w:t>
      </w:r>
    </w:p>
    <w:p>
      <w:r>
        <w:rPr>
          <w:b/>
        </w:rPr>
        <w:t xml:space="preserve">Quelle: </w:t>
      </w:r>
      <w:r>
        <w:t>https://mcp.opencaselaw.ch/entscheid/zh_obergericht_SB210401</w:t>
      </w:r>
    </w:p>
    <w:p>
      <w:r>
        <w:t>FR: ZH_OBERGERICHT SB210401 du 16 juin 2022</w:t>
      </w:r>
    </w:p>
    <w:p>
      <w:r>
        <w:t>IT: ZH_OBERGERICHT SB210401 del 16 giugno 2022</w:t>
      </w:r>
    </w:p>
    <w:p>
      <w:pPr>
        <w:pStyle w:val="Heading2"/>
      </w:pPr>
      <w:r>
        <w:t>Erwägungen</w:t>
      </w:r>
    </w:p>
    <w:p>
      <w:r>
        <w:rPr>
          <w:b/>
        </w:rPr>
        <w:t>E. 1</w:t>
      </w:r>
    </w:p>
    <w:p>
      <w:r>
        <w:t>Verfahrensgang</w:t>
      </w:r>
    </w:p>
    <w:p>
      <w:r>
        <w:rPr>
          <w:b/>
        </w:rPr>
        <w:t>E. 1.1</w:t>
      </w:r>
    </w:p>
    <w:p>
      <w:r>
        <w:t>Die Vorinstanz verzichtete entgegen dem Antrag der Staatsanwaltschaft auf die Anordnung einer Landesverweisung und erwog im Wesentlichen, der Be- schuldigte halte sich seit seiner Geburt in der Schweiz auf und eine Wegweisung würde ihn zweifellos hart treffen. Auch wenn seine Integration aufgrund seiner De- linquenz nicht als vollends gelungen eingestuft werden müsse, sei insgesamt von einem relativ hohen Grad der Integration auszugehen. Zwar sei eine berufliche und soziale Integration im Ausland möglich, allerdings nur unter erschwerten Vo- raussetzungen. Das öffentliche Interesse an einer Wegweisung des Beschuldig- ten sei gleich hoch anzusetzen wie dessen privates Interesse an einem Verbleib in der Schweiz, weshalb auf die Anordnung einer Landesverweisung zu verzich- ten sei (Urk. 48 S. 20 ff.).</w:t>
      </w:r>
    </w:p>
    <w:p>
      <w:r>
        <w:rPr>
          <w:b/>
        </w:rPr>
        <w:t>E. 1.2</w:t>
      </w:r>
    </w:p>
    <w:p>
      <w:r>
        <w:t>Während die Verteidigung die Bestätigung des vorinstanzlichen Verzichts beantragt und die Kriterien für die Anwendung der Härtefallklausel als erfüllt be- trachtet (Urk. 74 S. 1 ff.), wendet die Staatsanwaltschaft dagegen im Wesentli- chen ein, es liege bereits kein schwerer persönlicher Härtefall vor. So habe der Beschuldigte zwar die obligatorischen Schulen in der Schweiz besucht, eine Leh- re abgeschlossen und sei heute berufstätig. Jedoch spiele sich sein gesellschaft- liches Leben primär mit Angehörigen seiner Ursprungsfamilie ab. Auch die Delin- quenz des Beschuldigten spreche gegen eine gelungene Integration, manifestiere sich dadurch doch eine markante Verweigerungshaltung gegenüber der Respek- tierung der öffentlichen Ordnung. Da der Beschuldigte keine Kernfamilie in der Schweiz habe und ihm eine Rückkehr nach Portugal zuzumuten sei, sei ein per- sönlicher Härtefall zu verneinen (Urk. 73 S. 3 ff.).</w:t>
      </w:r>
    </w:p>
    <w:p>
      <w:r>
        <w:t>- 7 -</w:t>
      </w:r>
    </w:p>
    <w:p>
      <w:r>
        <w:rPr>
          <w:b/>
        </w:rPr>
        <w:t>E. 1.3</w:t>
      </w:r>
    </w:p>
    <w:p>
      <w:r>
        <w:t>Das Gericht verweist den Ausländer, der – wie der Beschuldigte – wegen Verbrechens gegen das Betäubungsmittelgesetz gemäss Art. 19 Abs. 2 BetmG verurteilt wird, unabhängig von der Höhe der Strafe für 5-15 Jahre aus der Schweiz (Art. 66a Abs. 1 lit. o StGB). Die obligatorische Landesverweisung we- gen einer Katalogtat im Sinne von Art. 66a Abs. 1 StGB greift grundsätzlich unab- hängig von der konkreten Tatschwere (BGE 146 IV 105 E. 3.4.1). Sie muss zu- dem unabhängig davon angeordnet werden, ob die Strafe bedingt, unbedingt oder teilbedingt ausgesprochen wird (BGE 146 IV 105 E. 3.4.1; Urteil 6B_560/2020 vom 17. August 2020 E. 1.1.1).</w:t>
      </w:r>
    </w:p>
    <w:p>
      <w:r>
        <w:rPr>
          <w:b/>
        </w:rPr>
        <w:t>E. 1.4</w:t>
      </w:r>
    </w:p>
    <w:p>
      <w:r>
        <w:t>Gemäss Art. 66a Abs. 2 StGB kann das Gericht ausnahmsweise von einer Landesverweisung absehen, wenn diese für den Ausländer einen schweren persönlichen Härtefall bewirken würde und die öffentlichen Interessen an der Landesverweisung gegenüber den privaten Interessen des Ausländers am Ver- bleib in der Schweiz nicht überwiegen. Dabei ist der besonderen Situation von Ausländern Rechnung zu tragen, die in der Schweiz geboren oder aufgewachsen sind.</w:t>
      </w:r>
    </w:p>
    <w:p>
      <w:r>
        <w:rPr>
          <w:b/>
        </w:rPr>
        <w:t>E. 1.5</w:t>
      </w:r>
    </w:p>
    <w:p>
      <w:r>
        <w:t>Die Vorinstanz hat die rechtlichen Grundlagen im Zusammenhang mit der Prüfung der sogenannten Härtefallklausel ausführlich und zutreffend dargelegt. Darauf kann verwiesen werden (Urk. 48 S. 20). Rekapitulierend und zusammen- fassend ist an dieser Stelle festzuhalten, dass die Härtefallklausel restriktiv anzu- wenden ist. Zur kriteriengeleiteten Prüfung eines Härtefalls lässt sich der Kriteri- enkatalog der Bestimmung über den "schwerwiegenden persönlichen Härtefall" gemäss Art. 31 Abs. 1 der Verordnung vom 24. Oktober 2007 über Zulassung, Aufenthalt und Erwerbstätigkeit (VZAE; SR 142.201) heranziehen. Es sind aber auch strafrechtliche Elemente in die Interessenabwägung miteinzubeziehen. Das Gericht hat dabei die öffentlichen und privaten Interessen gegeneinander abzuwägen. Von einem schweren persönlichen Härtefall ist in der Regel bei ei- nem Eingriff von einer gewissen Tragweite in den Anspruch des Ausländers auf das in Art. 13 BV und Art. 8 EMRK verankerte Recht auf Achtung des Privat- und Familienlebens auszugehen. Art. 66a StGB ist EMRK-konform auszulegen. Die Interessenabwägung im Rahmen der Härtefallklausel hat sich daher an der Ver-</w:t>
      </w:r>
    </w:p>
    <w:p>
      <w:r>
        <w:t>- 8 - hältnismässigkeitsprüfung nach Art. 8 Ziff. 2 EMRK zu orientieren (vgl. zum Gan- zen: Urteil 6B_1258/2020 vom 12. November 2021 E. 4.2.). 2. Härtefallprüfung</w:t>
      </w:r>
    </w:p>
    <w:p>
      <w:r>
        <w:rPr>
          <w:b/>
        </w:rPr>
        <w:t>E. 2</w:t>
      </w:r>
    </w:p>
    <w:p>
      <w:r>
        <w:t>Umfang der Berufung und formeller Hinweis</w:t>
      </w:r>
    </w:p>
    <w:p>
      <w:r>
        <w:rPr>
          <w:b/>
        </w:rPr>
        <w:t>E. 2.1</w:t>
      </w:r>
    </w:p>
    <w:p>
      <w:r>
        <w:t>Soziale Integration</w:t>
      </w:r>
    </w:p>
    <w:p>
      <w:r>
        <w:rPr>
          <w:b/>
        </w:rPr>
        <w:t>E. 2.1.1</w:t>
      </w:r>
    </w:p>
    <w:p>
      <w:r>
        <w:t>Der heute knapp 34-jährige Beschuldigte ist in der Schweiz geboren und aufgewachsen, hat hier die obligatorische Schulbildung durchlaufen und eine Berufslehre abgeschlossen. Er verfügt über die Niederlassungsbewilligung C (Urk. 2/6 F/A 118 ff.; Urk. 35; Urk. 72 S. 1 ff.). Damit liegen von Vornherein Umstände vor, welche gemäss Wortlaut von Art. 66a Abs. 2 StGB besonders ins Gewicht fallen und zu berücksichtigen sind. Auch das Bundesgericht hält fest, dass der besonderen Situation von in der Schweiz geborenen und aufgewachse- nen Ausländern dahingehend Rechnung getragen wird, dass die längere Aufent- haltsdauer zusammen mit einer guten Integration – beispielsweise eines Schulbe- suchs in der Schweiz – in aller Regel als starkes Indiz für das Vorliegen eines Härtefalls zu werten ist (BGE 146 IV 105 E. 3.3.4; Urteil 6B_249/2020 vom 27. Mai 2021 E. 5.2.3). Trotzdem muss die im Rahmen der Landesverweisung vorzunehmende Härtefallprüfung anhand der gängigen Integrationskriterien vor- genommen werden, wobei der langen Anwesenheitsdauer des Beschuldigten fraglos entsprechendes Gewicht einzuräumen ist (s.a. BGE 146 IV 105).</w:t>
      </w:r>
    </w:p>
    <w:p>
      <w:r>
        <w:rPr>
          <w:b/>
        </w:rPr>
        <w:t>E. 2.1.2</w:t>
      </w:r>
    </w:p>
    <w:p>
      <w:r>
        <w:t>Der Beschuldigte ist ledig, hat momentan keine partnerschaftliche Bezie- hung und wohnt mit seinem Bruder sowie seiner Mutter zusammen. Die Schwes- ter des Beschuldigten lebt in unmittelbarer Nachbarschaft. Seine Eltern sind ge- trennt. Zum Vater, welcher ebenfalls in der Schweiz wohnt, pflege er ebenfalls gu- ten Kontakt (Urk. 72 S. 3). Der Beschuldigte spricht fliessend schweizerdeutsch. Auch innerhalb der Familie werde deutsch gesprochen (Urk. 72 S. 1 und S. 5). Er ist hier aufgewachsen und hat die obligatorische Schule besucht, womit der Be- schuldigte zumindest insoweit ein (ausserfamiliäres) soziales Umfeld aufgebaut hat. Damit ist grundsätzlich von einem hohen sozialen Integrationsgrad auszuge- hen (s.a. Urteil 6B_1077/2020 vom 2. Juni 2021 E. 1.4).</w:t>
      </w:r>
    </w:p>
    <w:p>
      <w:r>
        <w:t>- 9 -</w:t>
      </w:r>
    </w:p>
    <w:p>
      <w:r>
        <w:rPr>
          <w:b/>
        </w:rPr>
        <w:t>E. 2.1.3</w:t>
      </w:r>
    </w:p>
    <w:p>
      <w:r>
        <w:t>Demgegenüber beherrscht der Beschuldigte die portugiesische Sprache gemäss eigenen Angaben nur schlecht bis mittelmässig (Urk. 2/6 F/A 123). Nebst der heute rund 100-jährigen Grossmutter, welcher es gesundheitlich nicht gut ge- he, habe er keine Bezugspersonen in seinem Heimatland. Letztmals sei der Be- schuldigte vor rund zwei Jahren in Portugal gewesen, um seine Grossmutter zu besuchen (Urk. 2/6 F/A 125; Urk. 72 S. 5). Auch wenn der Beschuldigte mit der Sprache und den Gepflogenheiten in seinem Heimatland grundsätzlich noch in gewisser Weise vertraut sein dürfte, scheint er nebst seiner aufgebauten Existenz in der Schweiz keine nennenswerten Bindungen mehr zu seinem Heimatland zu haben, welche vorliegend zu berücksichtigen wären (so sinngemäss auch die Verteidigung: Urk. 74 S. 7 ff.).</w:t>
      </w:r>
    </w:p>
    <w:p>
      <w:r>
        <w:rPr>
          <w:b/>
        </w:rPr>
        <w:t>E. 2.2</w:t>
      </w:r>
    </w:p>
    <w:p>
      <w:r>
        <w:t>Berufliche und wirtschaftliche Integration sowie Situation im Herkunftsland</w:t>
      </w:r>
    </w:p>
    <w:p>
      <w:r>
        <w:rPr>
          <w:b/>
        </w:rPr>
        <w:t>E. 2.2.1</w:t>
      </w:r>
    </w:p>
    <w:p>
      <w:r>
        <w:t>Nicht zu folgen ist der Staatsanwaltschaft, wenn sie vorbringt, der berufliche Werdegang des Beschuldigten sei nicht stabil (Urk. 73 S. 6). Der Beschuldigte schloss im Jahr 2007 eine Lehre als Maurer ab und war hernach in verschiedenen Unternehmungen im Umbau tätig. In den Jahren 2019 und 2020 war der Beschul- digte zwar arbeitslos und hat Ersatzeinkommen von der Arbeitslosenversicherung erhalten (Urk. 72 S. 2 f.). Ansonsten sind jedoch keine längeren Phasen der Arbeitslosigkeit oder Sozialhilfeabhängigkeit bekannt. Nach seiner Entlassung aus der Haft im November 2020 fand der Beschuldigte umgehend eine Stelle in einer grösseren Bauunternehmung in der Deutschschweiz. Seit dem 1. Mai 2021 arbei- tet er dort in unbefristeter Anstellung als Baufacharbeiter mit sehr guten Qualifika- tionen, was mittels Zwischenzeugnis der Arbeitgeberin ausgewiesen ist (Urk. 75/1 und Urk. 75/5). Im Lichte von Art. 58a Abs. 1 lit. d AIG, wonach als Integrations- kriterium insbesondere die tatsächliche Teilnahme am Wirtschaftsleben bzw. der Erwerb zu beachten ist (vgl. SPESCHA; in: OF-Komm. Migrationsrecht, 5. Aufl. 2019, Art. 58a AIG N 7), hat der Beschuldigte in dieser Hinsicht daher als voll- ständig integriert zu gelten.</w:t>
      </w:r>
    </w:p>
    <w:p>
      <w:r>
        <w:rPr>
          <w:b/>
        </w:rPr>
        <w:t>E. 2.2.2</w:t>
      </w:r>
    </w:p>
    <w:p>
      <w:r>
        <w:t>Die Staatsanwaltschaft weist grundsätzlich zu Recht auf die erheblichen Schulden des Beschuldigten hin (Urk. 73 S. 6 f.), liegen gemäss Auszug aus dem Betreibungsregister doch aktuell Verlustscheine im Gesamtbetrag von rund</w:t>
      </w:r>
    </w:p>
    <w:p>
      <w:r>
        <w:t>- 10 - Fr. 27'000.– vor (Urk. 75/6). Der Beschuldigte leistet jedoch monatliche Abzah- lungen, teilweise in erheblichem Umfang, was mit diversen Abrechnungen des Betreibungsamtes belegt werden konnte (Urk. 72 S. 4; Urk. 75/7-9). Allein in den Monaten November 2021 bis Januar 2022 lieferte der Beschuldigte für die Tilgung von Verlustscheinen beispielsweise monatlich Fr. 1'375.– ab, ohne dass er hierfür erneut betrieben worden wäre (Urk. 75/7). Dies untermauert einen beachtenswer- ten Willen zur Schuldentilgung, weshalb die wirtschaftliche Integration des Be- schuldigten aufgrund der genannten Verlustscheine letztlich nicht spürbar tangiert wird.</w:t>
      </w:r>
    </w:p>
    <w:p>
      <w:r>
        <w:rPr>
          <w:b/>
        </w:rPr>
        <w:t>E. 2.2.3</w:t>
      </w:r>
    </w:p>
    <w:p>
      <w:r>
        <w:t>Der Beschuldigte lässt vorbringen, er kenne weder die Arbeitswelt in sei- nem Heimatland noch wisse er, wie das Land und die Behördengänge funktionie- ren würden (Urk. 74 S. 8 f.). Die Staatsanwaltschaft macht geltend, der Beschul- digte würde auch in Portugal eine Arbeit finden und sich dort eingliedern können (Urk. 73 S. 7). Der portugiesische Arbeitsmarkt ist an sich intakt. Die Arbeitslosenquote sinkt seit Jahren kontinuierlich und beträgt aktuell rund 6,6 % bei weiterhin sinkenden Prognosen (vgl. https://de.statista.com/statistik/daten/studie/17325/umfrage/arbeitslosenquote-in- portugal). Die Schweiz weist gegenüber Portugal seit längerer Zeit sogar einen negativen Wanderungssaldo auf. Es sei in diesem Zusammenhang auf die Zahlen Stand November 2021 für die vorangehenden 12 Monate verwiesen (https://www.sem.admin.ch/sem/de/home/publiservice/statistik/auslaenderstatistik/ archiv/2021/11.html). Jedoch erkennt auch die Staatsanwaltschaft, dass aufgrund der dürftigen Sprachkenntnisse und den weiteren Voraussetzungen für den Beschuldigten "gewisse Hürden" bei einer Rückkehr in die "formelle Heimat" Portugal bestehen würden (Urk. 73 S. 7). Selbst wenn dem Beschuldigten eine Rückkehr nach Portugal nicht unmöglich erscheint, weist er faktisch keinen reel- len Bezug zu Portugal (mehr) auf. Seine Wiedereingliederungschancen wären daher beträchtlich erschwert und eine Wegweisung würde den Beschuldigten zweifellos hart treffen.</w:t>
      </w:r>
    </w:p>
    <w:p>
      <w:r>
        <w:t>- 11 -</w:t>
      </w:r>
    </w:p>
    <w:p>
      <w:r>
        <w:rPr>
          <w:b/>
        </w:rPr>
        <w:t>E. 2.3</w:t>
      </w:r>
    </w:p>
    <w:p>
      <w:r>
        <w:t>Delinquenz und Resozialisierung</w:t>
      </w:r>
    </w:p>
    <w:p>
      <w:r>
        <w:rPr>
          <w:b/>
        </w:rPr>
        <w:t>E. 2.3.1</w:t>
      </w:r>
    </w:p>
    <w:p>
      <w:r>
        <w:t>Beim Beschuldigten wurde am 9. Juli 2020 insgesamt 57.8 Gramm Kokain- gemisch mit einem hohen Reinheitsgrad von rund 91% sichergestellt, welches portioniert und teilweise für den Weiterverkauf respektive Eigenkonsum bestimmt war (Urk. 27 S. 2 f.; Urk. 48 S. 8). Die vom Beschuldigten begangene Anlasstat ist somit keineswegs zu bagatellisieren, zumal sich das Bundesgericht bei Straftaten gegen das BetmG hinsichtlich der Ausweisung zwecks Verhinderung neuer Straf- taten zur Gewährleistung der öffentlichen Sicherheit stets besonders streng ge- zeigt hat (zum Ganzen: Urteil 6B_736/2019 vom 3. April 2020 E. 1.1.1). Anderer- seits handelt es sich vorliegend insgesamt noch nicht um eine verschuldensmäs- sig schwere Straftat, bewegt sich das konkrete Tatverschulden des Beschuldigten gemäss Vorinstanz doch im untersten Bereich (Urk. 48 S. 11 ff.). Weiter ist in die- sem Zusammenhang zu bemerken, dass der Beschuldigte bis zu seiner Verhaf- tung im Juli 2020 rund ein halbes Jahr lang selber Drogen konsumierte (Urk. 48 S. 8 und S. 15). Der Beschuldigte führte hierzu aus, es sei ein "schwacher Teil" seines Lebens gewesen, in welchem es ihm psychisch und gesundheitlich nicht gut gegangen sei. Er könne sich heute nicht mehr erklären, wie es überhaupt zu diesen Taten habe kommen können (Urk. 72 S. 7). Mit der Staatsanwaltschaft ge- fährdete der Beschuldigte durch den Handel mit Kokain die Gesundheit vieler Menschen, ohne dass hierfür nachvollziehbare Gründe bestünden (Urk. 73 S. 5). Bereits darin besteht ein nicht zu unterschätzendes Fernhalteinteresse. Demge- genüber ist der Beschuldigte seit seiner Haftentlassung nicht mehr strafrechtlich in Erscheinung getreten. Vielmehr hat er seither einen eigentlichen Lebenswandel vollzogen, welcher sich in der sozialen und beruflichen Festigung seiner Lebens- verhältnisse sowie der Rückzahlung der Schulden manifestiert. Er machte denn auch wiederholt geltend, die Haft habe ihm die Augen geöffnet, und er habe seit- her keine Drogen mehr konsumiert (Urk. 72 S. 7; Prot. I S. 12 ff.; s.a. Urk. 74 S. 9). Zugunsten des Beschuldigten ist aus heutiger Sicht somit davon auszugehen, dass die Widerhandlung gegen das Betäubungsmittelgesetz unter dem Einfluss seiner damaligen Konsumproblematik erfolgte und es sich um eine einmalige Be-</w:t>
      </w:r>
    </w:p>
    <w:p>
      <w:r>
        <w:t>- 12 - täubungsmitteldelinquenz handelte. Dadurch relativiert sich die seitens des Be- schuldigten ausgehende Gefahr für die öffentliche Sicherheit und Ordnung in der gegebenen Konstellation doch merklich. Aufgrund der nunmehr gefestigten wirt- schaftlichen Verhältnisse des Beschuldigten ist denn auch das seitens der Staatsanwaltschaft bereits als "eher gering" eingeschätzte Restrisiko für ein er- neutes Tätigwerden im Drogenhandel stark zu relativieren (Urk. 73 S. 10 f.).</w:t>
      </w:r>
    </w:p>
    <w:p>
      <w:r>
        <w:rPr>
          <w:b/>
        </w:rPr>
        <w:t>E. 2.3.2</w:t>
      </w:r>
    </w:p>
    <w:p>
      <w:r>
        <w:t>Der Beschuldigte weist sodann zwei Einträge im Strafregister auf. Im Jahr 2014 wurde er wegen grober Verletzung der Verkehrsregeln zu einer bedingten Geldstrafe verurteilt. Mit Strafbefehl vom 19. März 2019 erfolgte eine weitere Verurteilung wegen Sachbeschädigung, Gewalt und Drohung gegen Behörden und Beamten sowie Beschimpfung (Urk. 62A). Diese Delikte sind nicht zu verharmlosen, es handelt sich letztlich jedoch noch um Straftaten im Bagatellbe- reich. Immerhin kann aber festgehalten werden, dass die im letztgenannten Straf- befehl geahndeten Taten erfolgten, nachdem der Beschuldigte aufgrund von "Problemen" in einem Club bis zum Eintreffen der Polizei vor dem Lokal von pri- vaten Sicherheitsmitarbeitern am Boden fixiert und in Handfesseln gelegt worden war, was er als übertrieben empfunden habe und weshalb er derart aufgebracht gewesen sei (Urk. 19/6; Beizugsakten ST.2019.935, Einvernahme vom 13. Janu- ar 2019). Entgegen der Ansicht der Staatsanwaltschaft kann auch unter Berück- sichtigung des deliktischen Verhaltens des Beschuldigten in einer Gesamtbe- trachtung nicht von einer unvollständigen Integration ausgegangen werden (Urk. 73 S. 4). Erachtete bereits die Vorinstanz im Lichte der damaligen Verhältnisse den Grad der Integration des Beschuldigten trotz seiner strafrechtlichen Verfeh- lungen als relativ hoch, ist dies spätestens im heutigen Zeitpunkt als zutreffend zu qualifizieren (Urk. 48 S. 21 ff.).</w:t>
      </w:r>
    </w:p>
    <w:p>
      <w:r>
        <w:rPr>
          <w:b/>
        </w:rPr>
        <w:t>E. 2.3.3</w:t>
      </w:r>
    </w:p>
    <w:p>
      <w:r>
        <w:t>Die Vorinstanz attestierte dem Beschuldigten – insbesondere aufgrund der bestehenden Schulden – keine günstige Legalprognose und ordnete den teil- bedingten Vollzug der Freiheitsstrafe an. Im heutigen Zeitpunkt muss aus straf- rechtlicher Sicht und unter Berücksichtigung des Eindrucks der verhängten Sanktion von einer Resozialisierung des Beschuldigten ausgegangen werden, hat er doch nicht nur beruflich Fuss gefasst, sondern auch seine bestehenden Schul-</w:t>
      </w:r>
    </w:p>
    <w:p>
      <w:r>
        <w:t>- 13 - den in relativ kurzer Zeitdauer um mehr als die Hälfte bzw. rund Fr. 20'000.– ab- gebaut (vgl. Prot. I S. 11; Urk. 75/6-9). Es sind daher keine konkreten Anzeichen (mehr) auszumachen, dass der Beschuldigte erneut (einschlägig) straffällig wer- den wird. Auch diese Gegebenheiten sind bei der Härtefallprüfung zu berücksich- tigen.</w:t>
      </w:r>
    </w:p>
    <w:p>
      <w:r>
        <w:rPr>
          <w:b/>
        </w:rPr>
        <w:t>E. 2.4</w:t>
      </w:r>
    </w:p>
    <w:p>
      <w:r>
        <w:t>Fazit Macht die Staatsanwaltschaft geltend, der Beschuldigte habe in der Schweiz kei- ne eigentliche "Kernfamilie" gemäss Art. 8 Ziff. 1 EMRK, kann dies allein für die Anwendung der Härtefallklausel nicht entscheidend sein (vgl. Urk. 73 S. 6). Auch junge Erwachsene, welche – wie der Beschuldigte – noch keine eigene Familie gegründet haben, können sich bei entsprechenden Voraussetzungen auf Art. 8 EMRK berufen (Urteil 6B_1070/2018 vom 14. August 2019 E. 6.3.2). Dies ist beispielsweise der Fall, wenn neben einer langen Aufenthaltsdauer auch von ei- ner gelungenen beruflichen Integration auszugehen ist (s.a. Urteil 6B_1424/2019 vom 15. September 2020 E. 3.4.4). Wie zuvor dargelegt, sind diese Vorausset- zungen beim hier geborenen und aufgewachsenen sowie beruflich sehr gut inte- grierten Beschuldigten fraglos als gegeben zu erachten. Die Integrationsleistun- gen des Beschuldigten sowie der Eingriff in den Schutzbereich von Art. 8 EMRK, welcher mit einer Wegweisung verbunden wäre, gereichen daher gesamthaft trotz der dargelegten Delinquenz, um ausnahmsweise einen schweren persönlichen Härtefall beim Beschuldigten anzunehmen. 3. Interessenabwägung 3.1. Bei Bejahung eines schweren persönlichen Härtefalls entscheidet sich die Sachfrage in einer Interessenabwägung nach Massgabe der "öffentlichen Interes- sen an der Landesverweisung". Gemäss gesetzlicher Systematik ist die obligato- rische Landesverweisung anzuordnen, wenn die Katalogtaten einen Schweregrad erreichen, bei welchem die Landesverweisung zur Wahrung der inneren Sicher- heit als notwendig erscheint. Diese Beurteilung lässt sich strafrechtlich nur in der Weise vornehmen, dass massgebend auf die verschuldensmässige Natur und Schwere der Tatbegehung, die sich darin manifestierende Gefährlichkeit des Tä-</w:t>
      </w:r>
    </w:p>
    <w:p>
      <w:r>
        <w:t>- 14 - ters für die öffentliche Sicherheit und auf die Legalprognose abgestellt wird (Urteil 6B_1258/2020 vom 12. November 2021 E. 4.2.2 m.H.). Bei in der Schweiz gebo- renen und aufgewachsenen Ausländern ist im Rahmen der Interessensabwägung hingegen mit zunehmender Anwesenheitsdauer ein gewichtigeres privates Inte- resse an einem Verbleib in der Schweiz zuzubilligen (BGE 146 IV 405 E. 3.5). 3.2. Die Staatsanwaltschaft schätzt das öffentliche Interesse an der Fernhal- tung des Beschuldigten wesentlich höher ein als dessen privates Interesse an ei- nem Verbleib in der Schweiz. So bestünden bereits aufgrund der aktenkundigen Deliktshistorie begründete Bedenken, dass sich der Beschuldigte inskünftig be- währen werde. Das vorhandene Restrisiko der Gefährdung der öffentlichen Si- cherheit durch die Wiederaufnahme des Drogenhandels rufe selbst beim hier ge- borenen und aufgewachsenen Beschuldigten nach einer sichernden Fernhalte- massnahme, weshalb das öffentliche Interesse an einer Landesverweisung nicht durch sein privates Interesse an einem Verbleib in der Schweiz kompensiert wer- den könne (Urk. 73 S. 10 f.). Demgegenüber erachtet die Verteidigung die öffent- liche Sicherheit und Ordnung bei einem Verbleib des Beschuldigten in der Schweiz nicht als gefährdet, zumal dieser einer geregelten Arbeitstätigkeit nach- gehe und keine Drogen mehr konsumiere. Im Sinne der vorinstanzlichen Erwä- gungen – so die Verteidigung weiter – sei aufgrund des überwiegenden privaten Interesses des Beschuldigten von einer Landesverweisung abzusehen (Urk. 74 S.</w:t>
      </w:r>
    </w:p>
    <w:p>
      <w:r>
        <w:rPr>
          <w:b/>
        </w:rPr>
        <w:t>E. 7</w:t>
      </w:r>
    </w:p>
    <w:p>
      <w:r>
        <w:t>Jahre des Landes zu verweisen. Ihre Berufung richtet sich mithin einzig gegen die vorinstanzliche Dispositiv-Ziff. 6, in welcher auf die Anordnung einer Landes- verweisung verzichtet wurde (Urk. 51 S. 2; Urk. 73). Die Verteidigung beantragt die Bestätigung des angefochtenen Entscheids bzw. die Abweisung der Berufung (Urk. 74 S. 1). Nicht angefochten und somit in Rechtskraft erwachsen sind daher die Dispositiv-Ziff. 1-5 und 7-10, was vorab mittels Beschluss festzustellen ist (Prot. II S. 6).</w:t>
      </w:r>
    </w:p>
    <w:p>
      <w:r>
        <w:t>- 6 -</w:t>
      </w:r>
    </w:p>
    <w:p>
      <w:r>
        <w:rPr>
          <w:b/>
        </w:rPr>
        <w:t>E. 9</w:t>
      </w:r>
    </w:p>
    <w:p>
      <w:r>
        <w:t>Die Entscheidgebühr wird festgesetzt auf: Fr. 4'000.– ; die weiteren Auslagen betragen: Fr. 2'100.– Gebühr für die Strafuntersuchung Fr. 1'808.50 Auslagen Gutachten Fr. 500.– Kosten für das Entsiegelungsverfahren Fr. 14'300.– amtl. Verteidigungskosten (inkl. MwSt.) Allfällige weitere Auslagen bleiben vorbehalten.</w:t>
      </w:r>
    </w:p>
    <w:p>
      <w:r>
        <w:rPr>
          <w:b/>
        </w:rPr>
        <w:t>E. 10</w:t>
      </w:r>
    </w:p>
    <w:p>
      <w:r>
        <w:t>Die Kosten der Untersuchung und des gerichtlichen Verfahrens werden dem Be- schuldigten auferlegt; davon ausgenommen sind die Kosten der amtlichen Verteidi- gung, welche einstweilen und unter dem Vorbehalt von Art. 135 Abs. 4 StPO von der Gerichtskasse übernommen werden.</w:t>
      </w:r>
    </w:p>
    <w:p>
      <w:r>
        <w:rPr>
          <w:b/>
        </w:rPr>
        <w:t>E. 11</w:t>
      </w:r>
    </w:p>
    <w:p>
      <w:r>
        <w:t>(Mitteilungen.)</w:t>
      </w:r>
    </w:p>
    <w:p>
      <w:r>
        <w:rPr>
          <w:b/>
        </w:rPr>
        <w:t>E. 12</w:t>
      </w:r>
    </w:p>
    <w:p>
      <w:r>
        <w:t>(Rechtsmittel.)" 2. Mündliche Eröffnung und schriftliche Mitteilung mit nachfolgendem Urteil.</w:t>
      </w:r>
    </w:p>
    <w:p>
      <w:r>
        <w:t>- 18 -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