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SB210396 vom 5. April 2022</w:t>
      </w:r>
    </w:p>
    <w:p>
      <w:r>
        <w:t>ZH Obergericht, 2022-04-05, DE</w:t>
      </w:r>
    </w:p>
    <w:p>
      <w:r>
        <w:rPr>
          <w:b/>
        </w:rPr>
        <w:t xml:space="preserve">Quelle: </w:t>
      </w:r>
      <w:r>
        <w:t>https://mcp.opencaselaw.ch/entscheid/zh_obergericht_SB210396</w:t>
      </w:r>
    </w:p>
    <w:p>
      <w:r>
        <w:t>FR: ZH_OBERGERICHT SB210396 du 5 avril 2022</w:t>
      </w:r>
    </w:p>
    <w:p>
      <w:r>
        <w:t>IT: ZH_OBERGERICHT SB210396 del 5 aprile 2022</w:t>
      </w:r>
    </w:p>
    <w:p>
      <w:pPr>
        <w:pStyle w:val="Heading2"/>
      </w:pPr>
      <w:r>
        <w:t>Erwägungen</w:t>
      </w:r>
    </w:p>
    <w:p>
      <w:r>
        <w:rPr>
          <w:b/>
        </w:rPr>
        <w:t>E. 1</w:t>
      </w:r>
    </w:p>
    <w:p>
      <w:r>
        <w:t>Umfang der Berufung In der Berufungsschrift ist anzugeben, welche Abänderungen des erstinstanzli- chen Urteils verlangt werden (Art. 399 Abs. 3 lit. b StPO). Gemäss Art. 402 StPO hat die Berufung im Umfang der Anfechtung aufschiebende Wirkung. Der Beschuldigte beantragt die vollumfängliche Aufhebung des vorinstanzlichen Urteils. Demgemäss ist das Urteil in keinem Punkt in Rechtskraft erwachsen.</w:t>
      </w:r>
    </w:p>
    <w:p>
      <w:r>
        <w:rPr>
          <w:b/>
        </w:rPr>
        <w:t>E. 2</w:t>
      </w:r>
    </w:p>
    <w:p>
      <w:r>
        <w:t>Verletzung des Beschleunigungsgebots Die Verteidigung macht geltend, der Fall sei durch die Staatsanwaltschaft wäh- rend knapp 7 Monaten unbearbeitet geblieben. Angesichts der geringen Komple- xität sei die Verletzung des Beschleunigungsgebots nicht nur bei der Strafzumes- sung zu berücksichtigen, wie es die Vorinstanz getan habe, sondern zusätzlich förmlich im Dispositiv festzustellen (Urk. 96 S. 2; Urk. 110 S. 3 f.). Gemäss Art. 5 Abs. 1 StPO nehmen die Strafbehörden die Strafverfahren unver- züglich an die Hand und bringen sie ohne unbegründete Verzögerung zum Ab- schluss. Das Beschleunigungsgebot (vgl. auch Art. 29 Abs. 1 BV und Art. 6 Ziff. 1 EMRK) gilt in sämtlichen Verfahrensstadien und verpflichtet die Strafbehörden, Verfahren voranzutreiben, um die beschuldigte Person nicht unnötig über die ge- gen sie erhobenen Vorwürfe im Ungewissen zu lassen (BGE 143 IV 49 E. 1.8.2 S. 61; 373 E. 1.3.1 S. 377; 133 IV 158 E. 8 S. 170). Ob die Pflicht zur beförderli- chen Behandlung verletzt worden ist, entzieht sich starren Regeln und hängt von den konkreten Umständen des Einzelfalls ab, die in ihrer Gesamtheit zu würdigen sind. Kriterien für die Angemessenheit der Verfahrensdauer sind etwa die Schwe- re des Tatvorwurfs, die Komplexität des Sachverhalts, die gebotenen Untersu- chungshandlungen, die Schwierigkeit und Dringlichkeit der Sache, das Verhalten der Behörden und dasjenige der beschuldigten Person sowie die Zumutbarkeit für diese (BGE 143 IV 373 E. 1.3.1 S. 377; 130 I 269 E. 3.1 S. 273; Urteil des Bun- desgerichts 6B_260/2020 vom 2. Juli 2020 E. 2.3.4). Einer Verletzung des Be- schleunigungsgebots kann mit einer Strafreduktion, einer Strafbefreiung bei</w:t>
      </w:r>
    </w:p>
    <w:p>
      <w:r>
        <w:t>- 7 - gleichzeitiger Schuldigsprechung oder in extremen Fällen – als ultima ratio – mit einer Verfahrenseinstellung Rechnung getragen werden (BGE 143 IV 49 E. 1.8.2 S. 61; 373 E. 1.4.1 S. 377 f.; 133 IV 158 E. 8 S. 170; Urteil des Bundesgerichts 6B_260/2020 vom 2. Juli 2020 E. 2.3.4). Bei der Frage nach der sachgerechten Folge ist zu berücksichtigen, wie schwer die beschuldigte Person durch die Ver- fahrensverzögerung getroffen wird, wie gravierend die ihr vorgeworfenen Taten sind und welche Strafe ausgesprochen werden müsste, wenn das Beschleuni- gungsgebot nicht verletzt worden wäre. Rechnung zu tragen ist auch den Interes- sen der Geschädigten und der Komplexität des Falls. Schliesslich ist in Betracht zu ziehen, wer die Verfahrensverzögerung zu vertreten hat (BGE 143 IV 373 E. 1.4.1 S. 377 f. mit Hinweisen). Soweit das Verfahren aus Gründen der Arbeitslast und wegen faktischer und prozessualer Schwierigkeiten zu unumgänglichen Ver- fahrensunterbrüchen führt, ist dies für sich allein nicht zu beanstanden, solange der Stillstand nicht als stossend erscheint. Das Beschleunigungsgebot ist nur ver- letzt, wenn eine von der Strafbehörde zu verantwortende krasse Zeitlücke zu Ta- ge tritt. Dafür genügt es nicht schon, dass diese oder jene Handlung etwas ra- scher hätte vorgenommen werden können (Urteil des Bundesgerichts 6B_1303/2018 vom 9. September 2019 E. 1.3 mit Hinweisen). Die Vorinstanz hat sich mit den einzelnen Verfahrensabschnitten detailliert ausei- nandergesetzt. Sie kam im Wesentlichen zum Schluss, dass zwischen der Straf- anzeige vom 30. Oktober 2018 und der Anklageschrift vom 6. März 2020 ein Jahr und 4 Monate vergangen seien. Die Staatsanwaltschaft führte in dieser Zeit ver- schiedene Einvernahmen und weitere Abklärungen durch und zog verschiedene Akten bei. Sie koordinierte das Verfahren mit dem Statthalteramt Meilen, welches gegen den Privatkläger ein Gegenverfahren wegen Tätlichkeiten führte (Urk. 7/1- 4). Ein erster Versuch der Staatsanwaltschaft, mit den Parteien Vergleichsver- handlungen über einen Rückzug der Strafanträge durchzuführen, scheiterte am</w:t>
      </w:r>
    </w:p>
    <w:p>
      <w:r>
        <w:rPr>
          <w:b/>
        </w:rPr>
        <w:t>E. 2.1</w:t>
      </w:r>
    </w:p>
    <w:p>
      <w:r>
        <w:t>Die Vorinstanz ging zutreffend von der einfachen Körperverletzung als das schwerste Delikt aus. Der Strafrahmen beträgt entsprechend 3 Tagessätze Geld- strafe bis 3 Jahre Freiheitsstrafe (vgl. Urk. 96 S. 30.).</w:t>
      </w:r>
    </w:p>
    <w:p>
      <w:r>
        <w:t>- 21 -</w:t>
      </w:r>
    </w:p>
    <w:p>
      <w:r>
        <w:rPr>
          <w:b/>
        </w:rPr>
        <w:t>E. 2.2</w:t>
      </w:r>
    </w:p>
    <w:p>
      <w:r>
        <w:t>Mit Blick auf die Strafart erkannte die Vorinstanz auf eine Geldstrafe. Dies erscheint angemessen und könnte zudem bereits aufgrund des Verschlechte- rungsverbots nicht (zu einer Freiheitsstrafe) abgeändert werden. 3. Retrospektive Konkurrenz Der Beschuldigte wurde mit Strafbefehl der Staatsanwaltschaft Zürich-Sihl vom 20. September 2019 wegen Führen eines Motorfahrzeugs trotz Verweigerung, Entzug oder Aberkennung (Art. 95 Abs. 1 lit. b SVG), sowie wegen vorsätzlicher Verletzung der Verkehrsregeln (Art. 90 Abs. 1 SVG) mit 30 Tagessätzen zu Fr. 30.– und einer Busse von Fr. 300.– bestraft. Die Verurteilung erfolgte nach der vorliegend zu beurteilenden Tat vom 30. Juli 2018, weshalb eine Zusatzstrafe auszufällen ist. 4. Einsatzstrafe: einfache Körperverletzung 4.1. Objektives Tatverschulden Der Tat des Beschuldigten ging wie dargelegt eine Auseinandersetzung voraus, im Rahmen welcher der Beschuldigte den Privatkläger anspuckte und dieser zu- rückspuckte. Zwar wurde der Beschuldigte erst handgreiflich, nachdem er seiner- seits vom Privatkläger angespuckt wurde. Dennoch ging auch die erste Eskalati- onsstufe (Spucken) vom Beschuldigten aus. Von einer eigentlichen Provokation seitens des Privatklägers kann somit nicht gesprochen werden. In der Folge liess der Beschuldigte die Situation vielmehr noch weiter eskalieren, indem er den Pri- vatkläger zu schlagen versuchte und letztlich gegen die Wand stiess, wodurch dieser die oben angeführten Verletzungen erlitt. Der Beschuldigte fügte dem Pri- vatkläger eine ca. 8 cm grosse Kontusionsmarke mit Rötung und oberflächlicher Hautabschürfung rechts neben der Wirbelsäule auf Höhe der mittleren Brustwir- belsäule, eine Prellmarke und Rötung an der rechten Ferse und einen leichten Druckschmerz am Hinterkopf zu. Aufgrund der schmerzenden Ferse hinkte der Geschädigte mehrere Tage lang. Die objektive Tatschwere ist im Bereich der ein- fachen Körperverletzung als äusserst leicht zu bezeichnen und die Einsatzstrafe auf 20 Tagessätze Geldstrafe festzusetzen.</w:t>
      </w:r>
    </w:p>
    <w:p>
      <w:r>
        <w:t>- 22 - 4.2. Subjektives Tatverschulden Das Motiv des Beschuldigten ist in einer bewussten und gewollten Herabsetzung des Privatklägers zu erblicken. Nachdem ihm dies zunächst durch das Bespucken nicht gelang, weil der Geschädigte dies in gleicher Weise erwiderte, drang er in die Wohnung des Privatklägers und versuchte, ihn zu verletzen, was ihm durch einen Stoss letztlich gelang. Die subjektive Tatkomponente wirkt sich erschwe- rend aus, weshalb das Tatverschulden letztlich als sehr leicht bezeichnet werden muss. Demnach ist eine Einsatzstrafe von 30 Tagessätzen dem Verschulden an- gemessen. 4.3. Einzelstrafe: Hausfriedensbruch Zur objektiven Tatschwere ist festzuhalten, dass der Beschuldigte die unver- schlossene Wohnung des Privatklägers zum Zweck der tätlichen Auseinanderset- zung betrat. Diese und damit sein Aufenthalt dauerte nur wenige Minuten. Gleichwohl ist zu berücksichtigen, dass der Beschuldigte durch seine Handlung das Sicherheitsgefühl des Privatklägers in seiner Wohnung erheblich beeinträch- tigte, fühlte sich doch dieser hinter der Türe sicher und erschrak er ob des Ein- dringens des Beschuldigten. Die objektive Tatschwere ist jedoch aufgrund der kurzen Verweildauer gleichwohl als sehr leicht zu werten. Zur objektiven Tatschwere ist festzuhalten, dass der Beschuldigte die Wohnung des Privatklägers vorsätzlich zum Zwecke einer tätlichen Auseinandersetzung be- trat, was als erschwerend erachtet werden muss. Entgegen der Vorinstanz ist nicht davon auszugehen, dass der Geschädigte dafür den Anlass gegeben hatte, weil er den Beschuldigten zuvor bespuckt hatte. Dies greift zu kurz, handelte es sich doch – wie bereits einleitend zur Körperverletzung erwähnt (E. IV.4.1.) – beim Zurückspucken des Privatklägers um eine Retorsion für das Spucken des Beschuldigten zuvor, weshalb es sich nicht zu Gunsten des Beschuldigten aus- wirkt. Vielmehr erhöht das Motiv für den Hausfriedensbruch – konkret die Absicht, den Privatkläger zu verletzen – das subjektive Tatverschulden.</w:t>
      </w:r>
    </w:p>
    <w:p>
      <w:r>
        <w:t>- 23 - Dem immer noch sehr leichten Verschulden des Beschuldigten erscheint bei iso- lierter Betrachtung eine Geldstrafe von 30 Tagessätzen angemessen. 5. Zwischenwürdigung Das rechnerische Total der Einzelstrafen beträgt 60 Tagessätze Geldstrafe. Im Rahmen der Asperation ist zu berücksichtigen, dass die Taten im gleichen Le- bensvorgang begangen wurden und miteinander zusammenhängen. Unter Be- rücksichtigung dieser Umstände und in Anwendung des Asperationsprinzips ist die Einsatzstrafe für das schwerste Delikt hinsichtlich des Hausfriedensbruchs nur moderat um 10 Tagessätze zu erhöhen, womit eine schuldangemessene Strafe von 40 Tagessätzen Geldstrafe resultiert.</w:t>
      </w:r>
    </w:p>
    <w:p>
      <w:r>
        <w:rPr>
          <w:b/>
        </w:rPr>
        <w:t>E. 6</w:t>
      </w:r>
    </w:p>
    <w:p>
      <w:r>
        <w:t>Täterkomponente</w:t>
      </w:r>
    </w:p>
    <w:p>
      <w:r>
        <w:rPr>
          <w:b/>
        </w:rPr>
        <w:t>E. 6.1</w:t>
      </w:r>
    </w:p>
    <w:p>
      <w:r>
        <w:t>Persönliche Verhältnisse In Bezug auf die persönlichen Verhältnisse des Beschuldigten kann auf die vor- instanzlichen Erwägungen sowie die Akten verwiesen werden (Urk. 96 S. 33 f., 36, Urk. 3/3). Anlässlich der Berufungsverhandlung bestätigte der Beschuldigte diese Angaben im Wesentlichen (Prot. II S. 6 ff.). Den persönlichen Verhältnissen des Beschuldigten lassen sich keine strafzumes- sungsrelevanten Faktoren für die Geldstrafe entnehmen.</w:t>
      </w:r>
    </w:p>
    <w:p>
      <w:r>
        <w:rPr>
          <w:b/>
        </w:rPr>
        <w:t>E. 6.2</w:t>
      </w:r>
    </w:p>
    <w:p>
      <w:r>
        <w:t>Vorstrafen Der Beschuldigte weist folgende Vorstrafen auf (Urk. 100): − Am 16. März 2007 wurde der Beschuldigte vom Corte delle assise cri- minali di Lugano wegen Verbrechen, Vergehen und Übertretung gegen das Betäubungsmittelgesetz sowie Hehlerei (Art. 160 Ziff. 1 Abs. 1 StGB) mit einer Freiheitsstrafe von 7 Jahren und 6 Monaten bestraft. − Am 18. Juni 2013 wurde der Beschuldigte von der Staatsanwaltschaft des Kantons Appenzell Ausserrhoden wegen Sachbeschädigung nach Art. 144 Abs. 1 StGB mit einer bedingten Geldstrafe von 30 Tagessät-</w:t>
      </w:r>
    </w:p>
    <w:p>
      <w:r>
        <w:t>- 24 - zen zu Fr. 100.00 und einer Busse von Fr. 600.00 bestraft. Am 14. März 2017 wurde die Probezeit um ein Jahr verlängert. − Am 14. März 2017 wurde der Beschuldigte vom Bezirksgericht Affoltern am Albis wegen grober Verletzung der Verkehrsregeln und Verletzung der Verkehrsregeln (Art. 90 Abs. 1-2 SVG) mit einer bedingten Geld- strafe von 20 Tagessätzen zu Fr. 80.00 und einer Busse von Fr. 300.00 bestraft. Die Gewährung des bedingten Vollzugs wurde am 20. September 2019 widerrufen. Die Vorstrafen sind nicht einschlägig und liegen mehrheitlich längere Zeit zurück, jedoch können sie auch nicht gänzlich ausser Acht gelassen werden. Erschwe- rend wirkt sich sodann aus, dass der Beschuldigte die vorliegend zu beurteilen- den Taten während laufender Probezeit (bedingte Geldstrafe gem. Urteil des Be- zirksgerichts Affoltern vom 14. März 2017; vgl. Urk. 109 S. 2) beging. Es rechtfer- tigt sich eine leichte Straferhöhung. Nicht als Vorstrafe zu berücksichtigen ist der Strafbefehl der Staatsanwaltschaft Zürich-Sihl vom 20. September 2019, zu welchem eine Zusatzstrafe auszufällen ist.</w:t>
      </w:r>
    </w:p>
    <w:p>
      <w:r>
        <w:rPr>
          <w:b/>
        </w:rPr>
        <w:t>E. 6.3</w:t>
      </w:r>
    </w:p>
    <w:p>
      <w:r>
        <w:t>Nachtatverhalten Der Beschuldigte bestritt den Sachverhalt durchwegs und machte geltend, er sei das Opfer und er sei physisch gar nicht in der Lage, die ihm vorgeworfene Tat begehen zu können. Mithin kann dem Beschuldigten kein Geständnis zugutege- halten werden. Das Nachtatverhalten wirkt sich mithin strafzumessungsneutral aus.</w:t>
      </w:r>
    </w:p>
    <w:p>
      <w:r>
        <w:rPr>
          <w:b/>
        </w:rPr>
        <w:t>E. 6.4</w:t>
      </w:r>
    </w:p>
    <w:p>
      <w:r>
        <w:t>Verfahrensdauer Wie bereits oben ausgeführt bewirkt die Dauer der Untersuchung von 16 Monaten bei einer Gesamtbetrachtung des vorliegenden keine Annahme einer Verletzung des Beschleunigungsgebots. Daran ändert nichts, dass während sieben Monaten keine Untersuchungshandlungen vorgenommen wurden. Dafür wurden die übri-</w:t>
      </w:r>
    </w:p>
    <w:p>
      <w:r>
        <w:t>- 25 - gen Untersuchungshandlungen umso schneller vorgenommen. Es ist daran zu er- innern, dass nebst dem Beschuldigten und dem Privatkläger auch zwei Zeugen einvernommen und ärztliche Akten eingeholt wurden (Urk. 4/1+5; Urk. 5/1-10). Die Anklageerhebung erfolgte mit 16 Monaten nach der Anzeigeerstattung nicht derart spät, dass der Beschuldigte unnötig lange über die erhobenen Vorwürfe im Ungewissen gelassen wurde. Mithin liegt keine Verletzung des Beschleunigungs- gebots vor, weshalb unter diesem Aspekt auch keine Strafminderung vorzuneh- men ist. Weitere Straferhöhungs- oder -minderungsgründe sind nicht ersichtlich. Insgesamt überwiegen die straferhöhenden Faktoren der Täterkomponente (Vor- strafen), weshalb die schuldangemessene Strafe um 20 Tagessätze auf 60 Ta- gessätze Geldstrafe zu erhöhen ist.</w:t>
      </w:r>
    </w:p>
    <w:p>
      <w:r>
        <w:rPr>
          <w:b/>
        </w:rPr>
        <w:t>E. 7</w:t>
      </w:r>
    </w:p>
    <w:p>
      <w:r>
        <w:t>Strafbefehl der Staatsanwaltschaft Zürich-Sihl vom 20. September 2019 Das Bundesgericht hat in seiner Rechtsprechung die Unabänderlichkeit des rechtskräftigen Ersturteils verstärkt betont. Eine Zusatzstrafe kann nur ausge- sprochen werden, soweit die Strafen der neu zu beurteilenden Delikte und die Grundstrafe gleichartig sind. Dem Zweitgericht ist es nicht mehr möglich, im Rahmen der gedanklich zu bildenden hypothetischen Gesamtstrafe eine andere Strafart zu wählen als das Erstgericht. Die Rechtskraft und Unabänderlichkeit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 zukommen. Zwar hat es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 teilten Taten) und der nach seinem freien Ermessen festzusetzenden Einzelstra- fen für die neuen Taten zu bilden. Sein Ermessen beschränkt sich auf die von ihm gemäss Art. 49 Abs. 2 StGB vorzunehmende Asperation zwischen rechtskräftiger</w:t>
      </w:r>
    </w:p>
    <w:p>
      <w:r>
        <w:t>- 26 - Grundstrafe und der für die noch nicht beurteilten Taten auszusprechende Strafe. Ist der Täter nach Ansicht des Zweitgerichts durch ein rechtskräftiges Urteil zu milde oder zu hart bestraft worden, so kann es die seines Erachtens "falsche" Grundstrafe nicht über die Zusatzstrafe korrigieren (BGE 142 IV 265 E. 2.4.2). Die Staatsanwaltschaft Zürich-Sihl bestrafte den Beschuldigten mit Strafbefehl vom 20. September 2019 wegen Führens eines Motorfahrzeugs trotz Entzug i.S.v. Art. 95 Abs. 1 lit. b SVG und Verletzung der Verkehrsregeln i.S.v. Art. 90 Ziff. 1 SVG mit einer Geldstrafe von 30 Tagessätzen zu Fr. 30.– sowie mit einer Busse in Höhe von Fr. 300.–. Die erneute eigene Strafzumessung für diese Taten durch die Vorinstanz (Urk. 96 S. 31 f.) war angesichts der dargelegten Rechtsprechung nicht zulässig. Vielmehr ist die zuvor festgesetzte schuldangemessene Strafe für die neu zu beurteilenden Delikte hinsichtlich der rechtskräftigen Grundstrafe gemäss Strafbefehl vom 20. September 2019 in Anwendung des Asperationsprinzips um 20 Tagessätze Geldstrafe zu erhöhen. Es resultiert mithin eine hypothetische Gesamtstrafe von 80 Tagessätzen Geld- strafe. Entsprechend wäre eine Zusatzstrafe im Umfang von 50 Tagessätzen Geldstrafe zum Strafbefehl der Staatsanwaltschaft Zürich-Sihl vom 20. September 2019 auszufällen. Die Vorinstanz bestrafte den Beschuldigten jedoch mit einer Zusatzstrafe von 40 Tagessätzen Geldstrafe als Zusatzstrafe zum genannten Strafbefehl. Aufgrund des Verschlechterungsverbots hat es dabei sein Bewenden. Lediglich der guten Ordnung halber ist zu bemerken, dass die hiesige Kammer auch dann zu keiner tieferen Strafe gelangen würde, wenn dem Beschuldigten ei- ne Verletzung des Beschleunigungsgebots zugutehalten würde. Eine solche wäre lediglich im Umfang von 10 Tagessätzen berücksichtigt worden.</w:t>
      </w:r>
    </w:p>
    <w:p>
      <w:r>
        <w:rPr>
          <w:b/>
        </w:rPr>
        <w:t>E. 8</w:t>
      </w:r>
    </w:p>
    <w:p>
      <w:r>
        <w:t>Tagessatzhöhe Bei der Berechnung der Tagessatzhöhe ist zu berücksichtigen, dass der Beschul- digte AHV-Rentner ist. Er besitzt kein Vermögen, dafür Schulden in Höhe von</w:t>
      </w:r>
    </w:p>
    <w:p>
      <w:r>
        <w:t>- 27 - rund Fr. 20'000.– (Prot. II S. 9). Unter Berücksichtigung der relevanten Abzüge erscheint eine Tagessatzhöhe von Fr. 30.– als angemessen.</w:t>
      </w:r>
    </w:p>
    <w:p>
      <w:r>
        <w:rPr>
          <w:b/>
        </w:rPr>
        <w:t>E. 9</w:t>
      </w:r>
    </w:p>
    <w:p>
      <w:r>
        <w:t>Festsetzung der Busse Für die geringfügige Sachbeschädigung im Sinne von Art. 144 Abs. 1 i.V.m. Art. 172ter Abs. 1 StGB ist eine Busse festzusetzen. Demgegenüber ist – wie be- reits erwogen (oben S. 19) – hinsichtlich der Tätlichkeit von einer Strafe (Busse) abzusehen. Bei der Bemessung der Busse ist neben den üblichen Faktoren zur Bemessung des Verschuldens der finanziellen Leistungsfähigkeit des Täters Rechnung zu tragen (Art. 106 Abs. 3 StGB). In objektiver Hinsicht ist zu berücksichtigen, dass der Beschuldigte einen Sachschaden von rund Fr. 20.– für den Bilderrahmen ver- ursachte. Entsprechend liegt der Schaden selbst im Spektrum der geringfügigen Vermögensdelikte im untersten Bereich. Der Bilderrahmen wurde im Rahmen der tätlichen Auseinandersetzung beschädigt, welche vom Beschuldigten initiiert wor- den war. Das Tatverschulden wieg sehr leicht. Zur subjektiven Tatschwere ist zu bemerken, dass der Beschuldigte eventualvor- sätzlich handelte. Er bezweckte nicht die Beschädigung der Gegenstände, nahm dies jedoch im Rahmen der tätlichen Auseinandersetzung in Kauf. Das subjektive Tatverschulden wirkt sich entsprechend leicht verschuldensmindernd aus. Für das insgesamt immer noch sehr leichten Verschulden des Beschuldigten er- scheint eine Busse von Fr. 100.– angemessen.</w:t>
      </w:r>
    </w:p>
    <w:p>
      <w:r>
        <w:rPr>
          <w:b/>
        </w:rPr>
        <w:t>E. 10</w:t>
      </w:r>
    </w:p>
    <w:p>
      <w:r>
        <w:t>Vollzug Zum Vollzug kann vollumfänglich auf die zutreffenden Ausführungen der Vo- rinstanz verwiesen werden (Urk. 96 S. 37). Der Beschuldigte weist mehrere Vor- strafen auf. Diese sind zwar nicht einschlägig, doch hielt ihn auch die Verbüssung einer mehrjährigen Freiheitsstrafe im Jahre 2007 sowie mehrere bedingte Geld- strafen in den Jahren 2013 und 2017 nicht von der Begehung erneuter Straftaten ab. Der Strafbefehl der Staatsanwaltschaft Zürich-Sihl vom 20. September 2019</w:t>
      </w:r>
    </w:p>
    <w:p>
      <w:r>
        <w:t>- 28 - ist mithin nicht als Vorstrafe zu werten, doch erfolgte die dort beurteilte Tat inner- halb des aktuellen, laufenden Strafverfahrens. Dies alles deutet auf eine erhebli- che Uneinsichtigkeit des Beschuldigten hin. Es ist davon auszugehen, dass eine erneute Ausfällung einer bedingten Geldstrafe den Beschuldigten nicht genügend beeindrucken wird, um sich in Zukunft wohl zu verhalten, nachdem bedingte Geldstrafen in der Vergangenheit keine Wirkung zeigten. Mit der Vorinstanz ist dem Beschuldigten daher eine schlechte Prognose zu stel- len und die Geldstrafe ist nicht aufzuschieben bzw. sie ist zu vollziehen. Die Bus- se ist ohnehin zu bezahlen.</w:t>
      </w:r>
    </w:p>
    <w:p>
      <w:r>
        <w:rPr>
          <w:b/>
        </w:rPr>
        <w:t>E. 11</w:t>
      </w:r>
    </w:p>
    <w:p>
      <w:r>
        <w:t>Fazit Der Beschuldigte ist mithin mit einer unbedingten Geldstrafe von 40 Tagessätzen zu Fr. 30.– zu bestrafen, als Zusatzstrafe zum Strafbefehl der Staatsanwaltschaft Zürich-Sihl vom 20. September 2019, sowie mit einer Busse von Fr. 100.–. V. Zivilforderungen Die Vorinstanz verwies das Schadenersatz- und Genugtuungsbegehren des Pri- vatklägers auf den Zivilweg (Urk. 96 S. 45). Der Beschuldigte hat die vorinstanzliche Regelung betreffend die Zivilansprüche nur aufgrund seines Antrags auf vollumfänglichen Freispruch anfechten lassen. Eine separate, einlässliche Begründung dieses Punkts erfolgte nicht (vgl. Urk. 98; Urk. 110). Somit ist die vorinstanzliche Regelung mit Verweis auf die entspre- chenden Erwägungen (Urk. 96 S. 39 f.; Art. 82 Abs. 4 StPO) auch heute zu bestä- tigen. Einer anderen Beurteilung stünde auch das Verschlechterungsverbot ent- gegen, nachdem der Geschädigte keine Berufung oder Anschlussberufung erho- ben hat.</w:t>
      </w:r>
    </w:p>
    <w:p>
      <w:r>
        <w:t>- 29 - VI. Kosten- und Entschädigungsfolgen Die vorinstanzlichen Schuldsprüche werden allesamt bestätigt. Ausgangsgemäss ist somit auch die vorinstanzliche Kostenfestsetzung und -regelung zu bestätigen (Dispositiv-Ziff. 5 - 7; Art. 426 StPO). Gemäss Art. 428 Abs. 1 StPO tragen die Parteien die Kosten des Berufungsver- fahrens nach Massgabe ihres Obsiegens oder Unterliegens. Der Beschuldigte, der einen vollumfänglichen Freispruch beantragte, unterliegt mit seiner Berufung – abgesehen von der etwas geringeren Bussenhöhe – praktisch vollständig. Da- her sind ihm auch die Kosten des Berufungsverfahrens aufzuerlegen. Die Gerichtsgebühr für das Berufungsverfahren ist praxisgemäss auf Fr. 3'000.– festzusetzen. Der Privatkläger hat im Berufungsverfahren keine Entschädigung beantragt. Ent- sprechend ist auch keine solche zuzusprechen (Art. 433 Abs. 2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