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SB210378 vom 7. April 2022</w:t>
      </w:r>
    </w:p>
    <w:p>
      <w:r>
        <w:t>ZH Obergericht, 2022-04-07, DE</w:t>
      </w:r>
    </w:p>
    <w:p>
      <w:r>
        <w:rPr>
          <w:b/>
        </w:rPr>
        <w:t xml:space="preserve">Quelle: </w:t>
      </w:r>
      <w:r>
        <w:t>https://mcp.opencaselaw.ch/entscheid/zh_obergericht_SB210378</w:t>
      </w:r>
    </w:p>
    <w:p>
      <w:r>
        <w:t>FR: ZH_OBERGERICHT SB210378 du 7 avril 2022</w:t>
      </w:r>
    </w:p>
    <w:p>
      <w:r>
        <w:t>IT: ZH_OBERGERICHT SB210378 del 7 aprile 2022</w:t>
      </w:r>
    </w:p>
    <w:p>
      <w:pPr>
        <w:pStyle w:val="Heading2"/>
      </w:pPr>
      <w:r>
        <w:t>Erwägungen</w:t>
      </w:r>
    </w:p>
    <w:p>
      <w:r>
        <w:rPr>
          <w:b/>
        </w:rPr>
        <w:t>E. 1</w:t>
      </w:r>
    </w:p>
    <w:p>
      <w:r>
        <w:t>Gegen das eingangs im Dispositiv aufgeführte Urteil des Bezirksgerichts Zürich, 9. Abteilung, vom 18. Dezember 2018 erhob der Beschuldigte rechtzeitig Berufung (Urk. 184, 196). Die Staatsanwaltschaft verzichtete in der Folge auf Erhebung einer Anschlussberufung (Urk. 201). Zu den Einzelheiten des Verfahrensgangs bis zur Urteilsfällung im "ersten" (mündlichen) Berufungsverfahren sei auf die entsprechenden Erwägungen im Urteil vom</w:t>
      </w:r>
    </w:p>
    <w:p>
      <w:r>
        <w:rPr>
          <w:b/>
        </w:rPr>
        <w:t>E. 1.1</w:t>
      </w:r>
    </w:p>
    <w:p>
      <w:r>
        <w:t>Das vorinstanzliche Urteil blieb im Berufungsverfahren hinsichtlich der Kos- tenaufstellung (Dispositivziffer 13) unangefochten und ist in Rechtskraft erwachsen, was mit vor Bundesgericht unangefochten gebliebenem und entsprechend seinerseits in Rechtskraft erwachsenen Beschluss vom 6. Oktober</w:t>
      </w:r>
    </w:p>
    <w:p>
      <w:r>
        <w:t>- 52 - 2020 (Beschluss-Ziffer 1) bereits festgestellt wurde und entsprechend auch der vorliegenden Kostenregelung zugrunde zu legen ist.</w:t>
      </w:r>
    </w:p>
    <w:p>
      <w:r>
        <w:rPr>
          <w:b/>
        </w:rPr>
        <w:t>E. 1.1.2</w:t>
      </w:r>
    </w:p>
    <w:p>
      <w:r>
        <w:t>der Anklageschrift (Ziffer 1.1.3 betrifft konkrete Betäubungsmittelübergaben bzw. -übernahmen von Marihuana und Hanf-Stecklingen durch den Beschuldigten alleine, ohne Vorwurf der Banden- oder Gewerbsmässigkeit). Es kann insofern auf die entsprechenden Erwägungen im ersten Berufungsurteil (Urk. 242 S. 85) verwiesen werden. 2. Der Beschuldigte ist somit der qualifizierten Widerhandlung gegen das Betäubungsmittelgesetz im Sinne von Art. 19 Abs. 1 lit. a, b, c und d teilweise in Verbindung mit Art. 19 Abs. 2 lit. b und c BetmG schuldig zu sprechen. 3. Auswirkungen auf den Umfang der Geldwäschereihandlungen</w:t>
      </w:r>
    </w:p>
    <w:p>
      <w:r>
        <w:t>- 19 - 3.1. Der Beschuldigte beantragt im Rahmen des "zweiten" schriftlichen Berufungsverfahrens gestützt auf die bundesgerichtliche Rückweisung und im Zusammenhang mit der bundesgerichtlich festgestellten Verletzung des Anklageprinzips bezüglich Anklageziffer 1.1.1.1. lit. a überdies Freisprüche vom Vorwurf der qualifizierten Geldwäscherei hinsichtlich der Handlungen gemäss Anklageziffern 1.2.1.1., 1.2.1.2., 1.2.1.4., 1.2.1.5., 1.2.1.6. und 1.2.1.7. sowie</w:t>
      </w:r>
    </w:p>
    <w:p>
      <w:r>
        <w:rPr>
          <w:b/>
        </w:rPr>
        <w:t>E. 1.2</w:t>
      </w:r>
    </w:p>
    <w:p>
      <w:r>
        <w:t>Gemäss Art. 426 Abs. 1 StPO trägt die beschuldigte Person die Verfahrenskosten, wenn sie verurteilt wird. Die vorinstanzlichen Schuldsprüche betreffend mehrfachen Pfändungsbetrug, mehrfaches Fahren ohne Berechtigung und falscher Anschuldigung war bereits im (ersten) Berufungsverfahren unangefochten geblieben und sind – wie ebenfalls bereits im Beschluss vom 6. Oktober 2020 (Beschluss-Ziffer 1) festgestellt wurde – in Rechtskraft erwachsen. Sodann wurde der erstinstanzliche Schuldspruch wegen qualifizierter Geldwäscherei im Berufungsverfahren (mit geringfügig reduzierten Deliktsbetrag) bestätigt. Schliesslich bleibt es auch beim Schuldspruch wegen qualifizierter Widerhandlung gegen das Betäubungsmittelgesetz, welcher – abgesehen vom Teilvorwurf gemäss Anklageziffer 1.1.1.1. lit. a – ebenfalls bestätigt wird. Die erstinstanzliche Auflage der Kosten für die Untersuchung und das erstinstanzliche Verfahren an den Beschuldigten (Dispositivziffer 14) ist mithin zu bestätigten. Daran vermag die Teileinstellung hinsichtlich des Vorwurfs gemäss Anklageziffer 1.1.1.1. lit. a mitsamt seiner Auswirkungen auf die Strafzumessung betreffend qualifizierte Geldwäscherei nichts zu ändern, kommt diesen doch in einer Gesamtbetrachtung der Vorwürfe, die weitestgehend zu Schuldsprüchen führten, nur begrenztes Gewicht zu. Überdies wären sämtliche erfolgten Untersuchungshandlungen auch ohne den Teilvorwurf gemäss Anklageziffer 1.1.1.1. lit. a notwendig gewesen (vgl. Urteil des Bundesgerichts 6B_574/2012 vom 28. Mai 2013 E. 2.3.).</w:t>
      </w:r>
    </w:p>
    <w:p>
      <w:r>
        <w:rPr>
          <w:b/>
        </w:rPr>
        <w:t>E. 1.2.3</w:t>
      </w:r>
    </w:p>
    <w:p>
      <w:r>
        <w:t>Falle die Vortat mangels genügender Umschreibung in der Anklageschrift weg, so könne auch die Adhäsionstat nicht abgeurteilt werden bzw. könne der Beschuldigte nicht schuldig gesprochen werden. Die Aufrechterhaltung der Schuldsprüche wegen Geldwäscherei als Nachtat im zweiten Berufungsverfahren würde zu einem widersprüchlichen Urteil führen. Das Berufungsgericht habe im Rückweisungsverfahren alles neu zu beurteilen, was im Zusammenhang mit dem höchstrichterlich festgestellten Verstoss gegen das Anklageprinzip zusammenhänge. Überdies sehe auch die Strafprozessordnung in Artikel 404 Abs. 2 vor, dass das Berufungsgericht den Berufungsgenstand auf nicht angefochtene Punkte ausweiten könne, um gesetzeswidrige oder unbillige Entscheidungen zu verhindern. Und sollte das Obergericht entgegen diesen Argumenten zum Schluss gelangen, dass die Anfechtung dieser Schuldsprüche nur auf dem Wege der Revision möglich sei, werde diese eventualiter ebenfalls beantragt (Urk. 274 S. 4 ff.). Sollte die Berufungsinstanz dennoch vom geforderten Freispruch absehen, beantragt die Verteidigung im Sinne eines Eventualstandpunktes, dass die um Fr. 1.8 Mio. geringere Summe gewaschenen</w:t>
      </w:r>
    </w:p>
    <w:p>
      <w:r>
        <w:t>- 20 - Geldes zumindest in Rahmen der Strafzumessung zu Gunsten des Beschuldigten zu berücksichtigen sei (Urk. 274 S. 13 f.). 3.2. Die hiesige Kammer erachtete im ersten Berufungsurteil vom 6. Oktober 2020 hinsichtlich der fraglichen Anklageziffern 1.2.1.1., 1.2.1.2., 1.2.1.4., 1.2.1.5., 1.2.1.6., 1.2.1.7. und 1.2.3. die dem Beschuldigten vorgeworfenen Geldwäschereihandlungen weitestgehend als erstellt. Einzig hinsichtlich Anklageziffer 1.2.1.4. reduzierte sich der Umfang der Geldwäschereihandlungen von den angeklagten Fr. 364'604.38 plus EUR 2'412.– auf noch Fr. 69'269.–. Mithin erwiesen sich die vorgeworfenen Geldwäschereihandlungen des Beschuldigten und seiner Mittäter im Umfang von gesamthaft knapp 4 Millionen Franken als erwiesen (vgl. Urk. 242 S. 53 - 84). Entsprechend wurde der Beschuldigte hinsichtlich dieser Taten der qualifizierten Geldwäscherei im Sinne von Art. 305 bis Ziff. 1 in Verbindung mit Ziffer 2 lit. c (Gewerbsmässigkeit) und teilweise Ziffer 2 lit. b (Bandenmässigkeit) StGB für schuldig befunden (Urk. 242 S. 87 ff.). Der Beschuldigte beantragte in seiner bundesrechtlichen Beschwerde nur die teilweise Aufhebung dieses Schuldspruchs, nämlich soweit dieser die Anklageziffer 1.2.1.8 (Reinvestition deliktischen Geldes in den Hanfanbau) betreffe. Im Übrigen – mitunter hinsichtlich ebendieser Anklageziffern 1.2.1.1., 1.2.1.2., 1.2.1.4., 1.2.1.5., 1.2.1.6., 1.2.1.7. und 1.2.3. – blieb der obergerichtliche Schuldspruch wegen qualifizierter Geldwäscherei unangefochten (vgl. Beschwerdeschrift an das Bundesgericht, Urk. 246/2 S. 2 ff.). In Anbetracht der bereits erwogenen Bindungswirkung des Rückweisungsentscheids, wonach es der Berufungsinstanz im Rückweisungsverfahren abgesehen von allenfalls zulässigen Noven verwehrt ist, der Beurteilung des Rechtsstreits einen anderen als den bisherigen Sachverhalt zu unterstellen oder die Sache unter rechtlichen Gesichtspunkten zu prüfen, die im Rückweisungsentscheid ausdrücklich abgelehnt oder überhaupt nicht in Erwägung gezogen worden sind, müssen die unangefochten gebliebenen Schuldsprüche vorliegend unangetastet bleiben und haben Bestand. Zulässige Noven liegen jedenfalls keine vor, hätte der Beschuldigte die nun erst im Rückweisungsverfahren geltend gemachten Vorbringen betreffend Aufhebung der fraglichen Schuldsprüche wegen Geldwäscherei doch bereits im Rahmen seiner Beschwerde ans Bundesgericht</w:t>
      </w:r>
    </w:p>
    <w:p>
      <w:r>
        <w:t>- 21 - vorbringen können und müssen, was er jedoch gerade nicht getan und die Schuldsprüche damit akzeptiert hat. Umgekehrt stellt die nun vom Bundesgericht vorgenommene teilweise Aufhebung des Schuldspruchs wegen qualifizierten Betäubungsmittelverstosses (Drogenimport gemäss Anklageziffer 1.1.1.1. lit. a) kein Umstand im Sinne eines zulässigen Novums dar, um die unangefochten gebliebenen Schuldsprüche wegen Geldwäscherein in Widererwägung zu ziehen, war es doch gerade der Beschuldigte, der diese Aufhebung des Schuldspruchs betreffend Drogenimporten in seiner Beschwerde an das Bundesgericht verlangte. Aus diesen Erwägungen erhellt denn auch, dass der vom Beschuldigten geltend gemachter Revisionsgrund gemäss Art. 410 Abs. 1 lit. a StPO (Urk. 274 S. 7) nicht gegeben ist, erfordert ein solcher doch genauso das Vorliegen neuer Tatsachen. Entsprechend erweist sich das eventualiter gestellte Revisionsgesuch als offensichtlich unbegründet im Sinne von Art. 412 Abs. 2 StPO. 3.3. Im Ergebnis ist anhand des Gesagten festzuhalten, dass der Schuldspruch wegen qualifizierter Geldwäscherei gemäss erstem Berufungsurteil vom</w:t>
      </w:r>
    </w:p>
    <w:p>
      <w:r>
        <w:rPr>
          <w:b/>
        </w:rPr>
        <w:t>E. 1.3</w:t>
      </w:r>
    </w:p>
    <w:p>
      <w:r>
        <w:t>Die Ziffern 15 - 17 des vorinstanzlichen Urteils betreffend Entschädigung der amtlichen Verteidigung wurde ebenfalls nicht mehr angefochten und sind entsprechend bereits in Rechtskraft erwachsen (vgl. Beschluss vom 6. Oktober 2020, Urk. 242 S. 10).</w:t>
      </w:r>
    </w:p>
    <w:p>
      <w:r>
        <w:t>- 53 - 2. Berufungsverfahren 2.1. Die Festsetzung der Kosten für das erste, mündliche Berufungsverfahren gemäss Dispositivziffer 6 des Urteils vom 6. Oktober 2020 blieb vor Bundesgericht unangefochten und hat mithin Bestand. 2.2. Die Kosten des Berufungsverfahrens tragen die Parteien nach Massgabe ihres Obsiegens und Unterliegens (Art. 428 Abs. 1 StPO). Der Beschuldigte beantragte mit seiner Berufung mehrheitlich Freisprüche hinsichtlich der Vorwürfe betreffend Einfuhren und Anbau von Cannabis mit anschliessendem Verkauf. Die diesbezüglichen vorinstanzlichen Schuldsprüche werden – mit Ausnahme der Vorwürfe gemäss Anklageziffer 1.1.1.1. lit. a und der, wie dargelegt, geringfügigen Auswirkungen auf die Geldwäscherei – praktisch vollständig bestätigt. Gleiches gilt hinsichtlich der Ersatzforderung. Auch das Strafmass erfährt eine verhältnismässig geringe Reduktion. Entsprechend unterliegt der Beschuldigte mit seiner Berufung weitestgehend, weshalb es angemessen erscheint, ihm die Kosten des ersten, mündlichen Berufungsverfahrens (SB190142) zu 9/10 aufzuerlegen und im Übrigen (1/10) auf die Staatskasse zu nehmen. 2.3. Die im ersten Berufungsurteil vom 6. Oktober 2020 für das erste, mündliche Berufungsverfahren festgesetzte Entschädigung der amtlichen Verteidiger durch Dr. iur. X1._____ (Fr. 20'000.–) und lic. iur. X2._____ (Fr. 7'000.–; Dispositivziffer 6) blieb ebenfalls unbeanstandet und ist damit in Rechtskraft erwachsen. Die Rückerstattungspflicht gemäss Art. 135 Abs. 4 StPO bleibt im Umfang von 9/10 vorbehalten. 2.4. Die Gerichtsgebühr für das vorliegende zweite, schriftliche Berufungsverfahren (SB210378) hat ausser Ansatz zu fallen, nachdem die teilweise Aufhebung des Urteils des Obergerichtes vom 6. Oktober 2020 durch das Bundesgericht nicht von den Parteien zu verantworten ist. 2.5. Der amtliche Verteidiger ist auch für das zweite Berufungsverfahren aus der Gerichtskasse zu entschädigen (Art. 135 Abs. 1 StPO). Er macht für das zweite, schriftliche Berufungsverfahren einen Aufwand von 36.1 Stunden geltend</w:t>
      </w:r>
    </w:p>
    <w:p>
      <w:r>
        <w:t>- 54 - (Urk. 275, 298 und 335). Dieser Aufwand erscheint angemessen. Einzig der für die Nachbearbeitung und -besprechung veranschlagte (geschätzte) Zeitaufwand von 4 Stunden (Studium des Urteils: 1.5h, Besprechung mit dem Beschuldigten in der JVA inkl. Hin- und Rückweg und Wartezeit: 2.5h) erscheint überhöht. Vielmehr erscheint ein Nachbearbeitungsaufwand (mit allfälliger telefonischen Nachbesprechung) im Umfang von rund 1 ½ Stunden angemessen. Rechtsanwalt Dr. iur. X1._____ ist mithin für das zweite Berufungsverfahren mit pauschal Fr. 8'000.– (inkl. Auslagen und MwSt.) aus der Gerichtskasse zu entschädigen. Eine Rückerstattungspflicht des Beschuldigten besteht diesbezüglich nicht. Es wird beschlossen: 1. Es wird festgestellt, dass das Urteil des Bezirksgerichts Zürich, 9. Abteilung, vom 18. Dezember 2018 hinsichtlich − Dispositivziffer 1 teilweise (Schuldspruch mit Bezug auf die Widerhandlungen gegen das Betäubungsmittelgesetz gemäss Anklageziffer 1.1.3 mit Ausnahme von Anklageziffer 1.1.3.4, den mehrfachen Pfändungsbetrug im Sinne von Art. 163 Ziff. 1 StGB, das mehrfache Fahren ohne Berechtigung im Sinne von Art. 95 Abs. 1 lit. b SVG und die falsche Anschuldigung im Sinne von Art. 303 Ziff. 2 StGB) − Dispositivziffer 2 (Freispruch hinsichtlich der qualifizierten Geldwäscherei im Sinne von Art. 305 bis Ziff. 1 in Verbindung mit Ziff. 2 lit. c StGB gemäss Anklageziffer 1.2.1.3), − Dispositivziffer 5 (Entfernung der B._____ Schweiz AG aus dem Rubrum), − Dispositivziffer 6 (Nichteintreten auf die Zivilklagen), − Dispositivziffern 7 - 10 (Einziehungen), − Dispositivziffer 11 (Herausgabe der Computer "Apple" iMac), − Dispositivziffer 13 (Kostenfestsetzung) sowie</w:t>
      </w:r>
    </w:p>
    <w:p>
      <w:r>
        <w:t>- 55 - − Dispositivziffern 15 - 17 (amtliche Verteidigung) in Rechtskraft erwachsen ist. 2. Es wird festgestellt, dass folgende Dispositivziffern des ersten Berufungsurteils der erkennenden Kammer vom 6. Oktober 2020 wie folgt ebenfalls rechtskräftig sind: " 1. Der Beschuldigte A._____ ist ausserdem schuldig − [...] bis − der qualifizierten Geldwäscherei im Sinne von Art. 305 Ziff. 1 in Verbindung mit Ziffer 2 lit. c und teilweise Ziffer 2 lit. b StGB. [...] 6. Die zweitinstanzliche Gerichtsgebühr wird festgesetzt auf: Fr. 20'000.– ; die weiteren Kosten betragen: Fr. 20'000.– amtliche Verteidigung durch Dr. iur. X1._____ Fr. 7'000.– amtliche Verteidigung durch lic. iur. X2._____. " 3. Das Strafverfahren wird betreffend den Vorwurf der qualifizierten Widerhandlung gegen das Betäubungsmittelgesetz gemäss Anklageziffer 1.1.1.1. lit. a eingestellt. 4. Auf den Berufungsantrag des Beschuldigten vom 2. September 2021, lautend auf Freispruch vom Vorwurf der qualifizierten Geldwäscherei, wird nicht eingetreten. 5. Auf das Revisionsgesuch des Beschuldigten vom 2. September 2021 hinsichtlich des Schuldspruchs wegen qualifizierten Geldwäscherei gemäss Urteil der erkennenden Kammer vom 6. Oktober 2020 wird nicht eingetreten. 6. Schriftliche Mitteilung mit nachfolgendem Urteil. 7. Gegen Ziffer 3, 4 und 5 diesen Entscheids kann bundesrechtliche Beschwerde in Strafsachen erhoben werden.</w:t>
      </w:r>
    </w:p>
    <w:p>
      <w:r>
        <w:t>- 56 -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Es wird erkannt: 1. Der Beschuldigte A._____ ist ausserdem schuldig der qualifizierten Widerhandlung gegen das Betäubungsmittelgesetz im Sinne von Art. 19 Abs. 1 lit. a, b, c und d teilweise in Verbindung mit Art. 19 Abs. 2 lit. b und c BetmG. 2. Der Beschuldigte wird bestraft mit einer Freiheitsstrafe von 10 Jahren, wovon bis und mit heute 2'171 Tage durch Untersuchungshaft und vorzeitigen Strafvollzug erstanden sind, und einer Geldstrafe von 330 Tagessätzen zu Fr. 30.–, letztere als teilweise Zusatzstrafe zur Geldstrafe von 100 Tagessätzen gemäss Strafbefehl der Staatsanwaltschaft Winterthur/Unterland vom 7. Oktober 2013. 3. Die Freiheitsstrafe wird vollzogen. Die Geldstrafe wird aufgeschoben, unter Ansetzung einer Probezeit von 4 Jahren. 4. Der Beschuldigte wird verpflichtet, dem Staat als Ersatz für den nicht mehr vorhandenen, widerrechtlich erlangten Vermögensvorteil Fr. 1 Mio. zu bezahlen. 5. Die erstinstanzliche Kostenauflage (Ziff. 14) wird bestätigt. 6. Die Kosten des mündlichen Berufungsverfahrens SB190142 werden, mit Ausnahme derjenigen der amtlichen Verteidigung, zu 9/10 dem Beschuldigten auferlegt und zu 1/10 auf die Gerichtskasse genommen.</w:t>
      </w:r>
    </w:p>
    <w:p>
      <w:r>
        <w:t>- 57 - Die Kosten der amtlichen Verteidigung für das mündliche Berufungsverfahren SB190142 werden auf die Gerichtskasse genommen. Die Rückzahlungspflicht des Beschuldigten gemäss Art. 135 Abs. 4 StPO bleibt im Umfang von 9/10 vorbehalten. 7. Die Gerichtsgebühr für das schriftliche Berufungsverfahren SB210378 fällt ausser Ansatz. Die weiteren Kosten betragen Fr. 8'000.– für die amtliche Verteidigung und werden definitiv auf die Gerichtskasse genommen. 8. Schriftliche Mitteilung in vollständiger Ausfertigung an − die amtliche Verteidigung im Doppel für sich und zuhanden des Beschuldigten − die Staatsanwaltschaft Zürich-Limmat − den Justizvollzug des Kantons Zürich, Abteilung Bewährungs- und Vollzugsdienste − das Bundesamt für Polizei und nach unbenütztem Ablauf der Rechtsmittelfrist bzw. Erledigung allfälliger Rechtsmittel an − die Vorinstanz − die Koordinationsstelle VOSTRA mit Formular A − die Koordinationsstelle VOSTRA/DNA mit dem Formular "Löschung des DNA-Profils und Vernichtung des ED-Materials" zwecks Bestimmung der Vernichtungs- und Löschungsdaten − das Amt für Justizvollzug des Kantons Zürich, Bewährungs- und Vollzugsdienste − das Bundesamt für Justiz (gemäss Art. 6 des Bundesgesetzes über die Teilung eingezogener Vermögenswerte [TEVG]) betreffend Disp.-Ziff. 4 − die Oberstaatsanwaltschaft des Kantons Zürich betr. TEVG betreffend Disp.-Ziff. 4 − das Obergericht des Kantons Zürich, Zentrales Inkasso, betr. TEVG betreffend Disp.-Ziff. 4 − das Strassenverkehrsamt des Kantons Zürich, Bereich Administrativmassnahmen, PIN Nr. 2, betreffend Beschluss Ziff. 1 − die Stadtpolizei Zürich, Büro für Waffenbelange, betreffend Beschluss Ziff. 1 − die Kasse des Bezirksgerichts Zürich (Sachkaution 33136 und 33140).</w:t>
      </w:r>
    </w:p>
    <w:p>
      <w:r>
        <w:t>- 58 -</w:t>
      </w:r>
    </w:p>
    <w:p>
      <w:r>
        <w:rPr>
          <w:b/>
        </w:rPr>
        <w:t>E. 1.4</w:t>
      </w:r>
    </w:p>
    <w:p>
      <w:r>
        <w:t>Angesichts der Einstellung hinsichtlich Anklageziffer 1.1.1.1. lit. a fällt die Gesamtmenge und damit der aus dem Drogenhandel erzielte Umsatz nunmehr geringer aus. Erachtete das Obergericht in seinem ersten Berufungsurteil noch die Beteiligung des Beschuldigten an Drogeneinfuhren aus dem Ausland und dem Betrieb der genannten Hanfindooranlagen im Inland von ca. 7 Tonnen Cannabis,</w:t>
      </w:r>
    </w:p>
    <w:p>
      <w:r>
        <w:t>- 18 - womit insgesamt ein Umsatz von ca. Fr. 36 Mio. erzielt worden seien, als erstellt (vgl. Urk. 242 S. 53 zur "Gesamtmenge"), ist neu von einem um 1'440 Kilogramm geringere Betäubungsmittelmenge und entsprechend auch von einen um Fr. 7.2 Mio. (1'440 kg x 5'000.– Fr./kg) geringeren Umsatz auszugehen. Dergestalt äusserte sich auch der Beschuldigte in seiner Berufungsbegründung im Rückweisungsverfahren (Urk. 274 S. 8). Es ist mithin neu von einer Betäubungsmittelmenge von insgesamt rund 5.5 Tonnen Marihuana sowie einem Umsatz von Fr. 28.5 Mio. auszugehen. Dies wird entsprechend in der nachfolgend neu vorzunehmenden Strafzumessung zu berücksichtigen sein.</w:t>
      </w:r>
    </w:p>
    <w:p>
      <w:r>
        <w:rPr>
          <w:b/>
        </w:rPr>
        <w:t>E. 1.5</w:t>
      </w:r>
    </w:p>
    <w:p>
      <w:r>
        <w:t>Die rechtliche Subsumtion der Beteiligung des Beschuldigten an der erstellten Einfuhr sowie dem Anbau von Marihuana unter Art. 19 Abs. 1 lit. a BetmG (unbefugtes Anbauen), Art. 19 Abs. 1 lit. b BetmG (unbefugtes Lagern, Versenden, Befördern, Einführen), Art. 19 Abs. 1 lit. c BetmG (unbefugtes Veräussern, in Verkehr Bringen) sowie Art. 19 Abs. 1 lit. d BetmG (unbefugtes Besitzen, Aufbewahren und Erwerben) durch die Vorinstanz (Urk. 195 S. 204) ändert sich auch unter Berücksichtigung des Wegfalls der Teilmenge gemäss Anklageziffer 1.1.1.1. lit. a nicht. Dies wird vom Beschuldigten denn auch im Rückweisungsverfahren zu Recht nicht in Abrede gestellt (Urk. 247). Gleiches gilt hinsichtlich der Qualifikation gemäss Art. 19 Abs. 2 lit. b BetmG (Bandenmässigkeit) und Art. 19 Abs. 2 lit. c BetmG (Gewerbsmässigkeit) mit Bezug auf die Ziffern 1.1.1. (neu unter Ausschluss von Ziffer 1.1.1.1. lit. a) sowie</w:t>
      </w:r>
    </w:p>
    <w:p>
      <w:r>
        <w:rPr>
          <w:b/>
        </w:rPr>
        <w:t>E. 6</w:t>
      </w:r>
    </w:p>
    <w:p>
      <w:r>
        <w:t>Die Ersatzforderung entspricht in ihrer Höhe grundsätzlich den Vermögenswerten, die durch die strafbare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(Urk. 267 E. 6.3.2). Gemäss Art. 71 Abs. 2 StGB kann das Gericht von einer Ersatzforderung ganz oder teilweise absehen, wenn diese voraussichtlich uneinbringlich wäre oder die Wiedereingliederung des Betroffenen ernstlich behindern würde. Das Bundesgericht betonte in seinem Urteil, dass von dieser Möglichkeit des ganz oder teilweisen Absehens von der Ersatzforderung nach der Rechtsprechung nur</w:t>
      </w:r>
    </w:p>
    <w:p>
      <w:r>
        <w:t>- 48 - mit Zurückhaltung Gebrauch zu machen sei. Dafür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bzw. das allein erfolgsversprechende Mittel ist (Urk. 268 E. 6.3.2 in fine; BGE 106 IV 9 E. 2). In seinem Leitentscheid BGE 106 IV 9 hielt das Bundesgericht sodann fest, dass auch wenn die Voraussetzungen der Herabsetzung gegeben sind, diese nicht nach freiem Belieben vorgenommen werden dürfe. Auszugehen sei von der festgestellten Gesamtschuld, um den Betrag zu ermitteln, mit dem der Verurteilte nach seinen wirtschaftlichen und persönlichen Verhältnissen noch belastet werden kann, ohne dass seine Wiedereingliederung ernsthaft gefährdet wird. Unter Vorbehalt ausserordentlicher Umstände sollte die herabgesetzte Ersatzforderung jedenfalls den Betrag des erzielten Nettogewinns nicht unterschreiten, denn das liefe dem Grundgedanken von Art. 71 StGB zuwider, der verhindern will, dass der Täter aus der strafbaren Handlung Nutzen zieht (BGE 106 IV 9 E. 2 in fine).</w:t>
      </w:r>
    </w:p>
    <w:p>
      <w:r>
        <w:rPr>
          <w:b/>
        </w:rPr>
        <w:t>E. 7</w:t>
      </w:r>
    </w:p>
    <w:p>
      <w:r>
        <w:t>Gemäss den vorstehenden Erwägungen ist erstellt, dass der aus dem Betäubungsmittelhandel stammende Umsatz rund Fr. 28.5 Mio. und derjenige der Geldwäscherei fast Fr. 3.6 Mio. betrug. Die von der Vorinstanz festgesetzte Ersatzforderung von Fr. 1 Mio. entspricht mithin bereits für sich nur einem kleinen Bruchteil bzw. nur gerade etwa 3 Prozent der mit den strafbaren Handlungen erlangen Vermögenswerte. Dass der Betrag verglichen mit andern Fällen dennoch relativ hoch ausfällt, ist einzig dem riesigen Ausmass der kriminellen Handlungen des Beschuldigen zuzuschreiben. Die Frage, ob bzw. inwieweit betragsmässig sogar eine höhere Ersatzforderung denkbar gewesen wäre, erübrigt sich angesichts der Geltung des Verschlechterungsverbots (Art. 391 Abs. 2 StPO) von vornherein. Es ist aber jedenfalls zu betonen, dass dieser Betrag nach dem Gesagten sicher nicht zu hoch angesetzt ist. Dies gilt umso mehr, als nach der Rechtsprechung wie soeben dargelegt – ausserordentliche Umstände vorbehalten – selbst eine Herabsetzung dort ihre Grenzen finden sollte, wo der Betrag des erzielten Nettogewinns unterschreiten würde. Letzterer konnte vorliegend mangels genauer Angaben und nur teilweise vorhandener Belege zwar</w:t>
      </w:r>
    </w:p>
    <w:p>
      <w:r>
        <w:t>- 49 - nicht im Einzelnen ermittelt werden. Sodann wird auch von Seiten des Beschuldigten, der sich ebenfalls auf diesen Punkt (Nettoprinzip) beruft und der am besten in der Lage sein müsste, den Aufwand bzw. den Reingewinn abzuschätzen, dazu nichts Konkretes vorgebracht. Ein Blick etwa auf den Hanfanbau in Regensdorf gemäss Anklage-Ziffer 1.1.2.1., welcher innert rund drei Jahren nicht weniger als 4 Tonnen Drogenhanf hervorbrachte, lässt die Gewinnspanne allerdings immerhin in der ungefähren Grössenordnung erahnen. Stellt man die in der Anklage genannten bzw. aufgrund sichergestellter Belege bekannten Gestehungskosten für Miete, Strom, Wasser und Löhne für Angestellte (monatlich zusammen rund Fr. 15'500.–; für den Deliktszeitraum von 39 Monaten mithin Fr. 604'500.–) dem über die 39 Monate Betriebszeit hinweg erzielten Erlös von fast Fr. 20.5 Mio. gegenüber, resultiert eine immense Gewinnmarge. Selbst wenn zusätzlich zu diesen ermittelten Kosten (vgl. dazu Urk. 195 S. 85 f; Polizeirapport Urk. 012079 ff.) noch monatlich mehrere Tausend Franken für nicht berücksichtige weitere Aufwendungen (insbesondere Infrastruktur, Erde, Dünger etc.) hinzugezählt würden, betrüge die Gewinnmarge noch über 90%, und es würde jedenfalls immer noch ein Gewinn im klar zweistelligen Millionenbereich resultieren. Wenngleich diese Überschlagsrechnung teilweise auf Schätzungen beruht, ist sie dennoch geeignet, aufzuzeigen, dass die von der Vorinstanz festgesetzte Ersatzforderung in Kontext betrachtet zu Gunsten des Beschuldigten letztlich sehr tief ist, mithin bereits eine massive Reduktion der Ersatzforderung stattgefunden hat. Zu prüfen bleibt dennoch, ob allenfalls gemäss Art. 71 Abs. 2 StGB Gründe für eine weitergehende Reduktion oder gar ein Verzicht auf eine Ersatzforderungen vorliegen.</w:t>
      </w:r>
    </w:p>
    <w:p>
      <w:r>
        <w:rPr>
          <w:b/>
        </w:rPr>
        <w:t>E. 8</w:t>
      </w:r>
    </w:p>
    <w:p>
      <w:r>
        <w:t>Hinsichtlich der finanziellen Verhältnisse des Beschuldigten – soweit diese überhaupt bekannt sind – wurden im Rahmen der Strafzumessung bei der Täterkomponente bereits Ausführungen gemacht (oben E. IV.4.7.1.). Wie dargelegt ist davon auszugehen, dass der Beschuldigte in den Jahren vor seiner Festnahme keine nennenswerten legalen Einkünfte erzielte. Nunmehr befindet er sich seit rund sechs Jahren im Strafvollzug und erzieht entsprechend seither kein namhaftes Einkommen. Zwar ist es angesichts der immensen Umsätze, die der Beschuldigte und seine Mittäter im Drogenhandel erzielten, kaum vorstellbar,</w:t>
      </w:r>
    </w:p>
    <w:p>
      <w:r>
        <w:t>- 50 - dass er, abgesehen vom beschlagnahmten Bargeld, keinerlei weitere Vermögenswerte, weder in der Schweiz noch im Ausland, aufweisen soll. Mangels entsprechender Nachweise muss allerdings zu seinen Gunsten davon ausgegangen werden. Dass die gegenwärtigen finanziellen Lage zu einem Verzicht auf eine Ersatzforderung führen müsste, ergibt sich daraus entgegen der Verteidigung jedoch noch keineswegs. Der Beschuldigte ist bald Mitte vierzig und steht somit mitten im erwerbsfähigen Alter. Wenngleich der jahrelange Fokus auf den Drogenanbau und -handel sowie die nachfolgende mehrjährige Haft einen beruflichen Widereinstieg nach seiner Haftentlassung (2/3 Termin August 2023; schrittweise Vollzugslockerungen bereits im Gange, vgl. Urk. 293 ff.) sicher nicht erleichtern, erscheint ein solcher dennoch keineswegs als unrealistisch. So betätigte sich der Beschuldigte im Strafvollzug im Haus- und Reinigungsdienst und absolvierte ferner eine Ausbildung zum Immobilienmakler (SB190142 Prot. S. 12; Urk. 176 S. 2 f.). Mit Blick auf seine Zukunftspläne nach der Haftentlassung gab er entsprechend auch an, als Immobilienmakler arbeiten und Fuss fassen zu wollen. Zudem habe er vom Partner seiner Schwester ein Jobangebot in einem Arbeitsvermittlungsbüro erhalten, welches er nach eigenen Angaben dankbar antreten würde (SB190142 Prot. S. 12, 16). Entsprechend ist durchaus damit zu rechnen, dass der Beschuldigte nach seiner Haftentlassung bald wieder über ein regelmässiges Einkommen verfügen wird, das über die Deckung seines existenziellen Grundbedarfs hinausgeht. Familiäre Unterstützungspflichten hat er keine. Überdies war er bis zur Verhaftung in einer Liegenschaft eingemietet, die seiner Mutter gehörte und die ihm nötigenfalls auch Zahlungserleichterungen bzw. -nachlässe gewährt hatte. Er habe seiner Mutter jeweils so viel bezahlt, wie es gerade gegangen sei (Prot. II S. 15). Nachdem seine Mutter trotzt des Strafverfahrens weiterhin zum Beschuldigten hält, ist anzunehmen, dass er auch nach der Haftentlassung mit einer günstigen Wohngelegenheit wird rechnen dürfen. Nach der Haftentlassung sei gemäss Aussagen des Beschuldigten entsprechend auch vorgesehen, dass er wieder dort wohnen könne (Urk. 176 S. 3). Dem Beschuldigten ist es mithin durchaus zumutbar, nach der Reintegration in den legalen Arbeitsmarkt laufend einen Teil seines Einkommens für die Abbezahlung einer Ersatzforderung aufzuwenden, ohne dass dadurch</w:t>
      </w:r>
    </w:p>
    <w:p>
      <w:r>
        <w:t>- 51 - seine Chancen auf Resozialisierung übermässig erschwert würden. Zwar erscheint offensichtlich, dass der Beschuldigte eine Ersatzforderung in der von der Vorinstanz erkannte Grössenordnung nach der Haftentlassung nicht innert kurzer Frist wird begleichen können. Dieser Umstand steht der Festsetzung der Ersatzforderung aber nicht entgegen. So hat das Bundesgericht bereits in seinem Leitentscheid BGE 106 IV 9 festgehalten, dass keine sachlichen Gründe dafür ersichtlich seien, bei einer ratenweisen Abbezahlung der Ersatzforderung den Zeithorizont für die Erfüllung der Zahlungspflicht auf 10 Jahre zu beschränken, den die Berufungsinstanz im dortigen Fall als Orientierungspunkt herangezogen hatte (BGE 106 IV 9 E. 3a). Auch in casu wird es dem Beschuldigten offenstehen, Zahlungserleichterung – insbesondere der Gestalt eines Zahlungsaufschubs mit Ratenzahlung in zumutbarer Höhe – zu beantragen, wobei keine Gründe ersichtlich sind, weshalb ihm solche nicht gewährt werden sollten. Im Lichte des Gesagten ist mithin nicht ersichtlich, dass selbst die Festsetzung auch einer – wenn auch nur betragsmässig – relativ hohen Ersatzforderung von Fr. 1 Mio. bei Gewährung von Zahlungserleichterungen (Zahlungsaufschub, Ratenzahlungen) einer Wiedereingliederung des Beschuldigten massgeblich entgegenstehen würde. Daran ändert – entgegen der Vorbringen der Verteidigung (Urk. 274 S. 18 f.) – auch nichts, dass der Beschuldigte aus dem vorliegenden Strafverfahren auch zur Tragung der Verfahrenskosten in erheblichem Umfang verpflichtet wurde bzw. wird, steht es ihm doch auch diesbezüglich frei, bei der kantonalen Inkassostelle Zahlungserleichterungen zu beantragen.</w:t>
      </w:r>
    </w:p>
    <w:p>
      <w:r>
        <w:rPr>
          <w:b/>
        </w:rPr>
        <w:t>E. 9</w:t>
      </w:r>
    </w:p>
    <w:p>
      <w:r>
        <w:t>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Obergericht des Kantons Zürich II. Strafkammer Zürich, 7. April 2022 Der Präsident: Der Gerichtsschreiber: Oberrichter lic. iur. Spiess MLaw Andres</w:t>
      </w:r>
    </w:p>
    <w:p>
      <w:r>
        <w:t>- 59 -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