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SB210230 vom 23. September 2021</w:t>
      </w:r>
    </w:p>
    <w:p>
      <w:r>
        <w:t>ZH Obergericht, 2021-09-23, DE</w:t>
      </w:r>
    </w:p>
    <w:p>
      <w:r>
        <w:rPr>
          <w:b/>
        </w:rPr>
        <w:t xml:space="preserve">Quelle: </w:t>
      </w:r>
      <w:r>
        <w:t>https://mcp.opencaselaw.ch/entscheid/zh_obergericht_SB210230</w:t>
      </w:r>
    </w:p>
    <w:p>
      <w:r>
        <w:t>FR: ZH_OBERGERICHT SB210230 du 23 septembre 2021</w:t>
      </w:r>
    </w:p>
    <w:p>
      <w:r>
        <w:t>IT: ZH_OBERGERICHT SB210230 del 23 settembre 2021</w:t>
      </w:r>
    </w:p>
    <w:p>
      <w:pPr>
        <w:pStyle w:val="Heading2"/>
      </w:pPr>
      <w:r>
        <w:t>Erwägungen</w:t>
      </w:r>
    </w:p>
    <w:p>
      <w:r>
        <w:rPr>
          <w:b/>
        </w:rPr>
        <w:t>E. 1</w:t>
      </w:r>
    </w:p>
    <w:p>
      <w:r>
        <w:t>Zum Verfahrensgang bis zur Fällung des erstinstanzlichen Urteils kann vollumfänglich auf die zutreffenden Ausführungen im erstinstanzlichen Urteil ver- wiesen werden (Urk. 30 S. 3 f.).</w:t>
      </w:r>
    </w:p>
    <w:p>
      <w:r>
        <w:rPr>
          <w:b/>
        </w:rPr>
        <w:t>E. 2</w:t>
      </w:r>
    </w:p>
    <w:p>
      <w:r>
        <w:t>Gegen das am 9. März 2021 mündlich eröffnete und begründete Urteil er- hob der Beschuldigte mit Eingabe vom 12. März 2021 fristgerecht Berufung (Prot. I S. 25 ff.; Urk. 25).</w:t>
      </w:r>
    </w:p>
    <w:p>
      <w:r>
        <w:rPr>
          <w:b/>
        </w:rPr>
        <w:t>E. 2.1</w:t>
      </w:r>
    </w:p>
    <w:p>
      <w:r>
        <w:t>Die Entscheidgebühr für das Berufungsverfahren ist auf Fr. 3'000.-- zu veranschlagen (vgl. Art. 424 Abs. 1 StPO in Verbindung mit § 16 Abs. 1 GebV OG und § 14 GebV OG).</w:t>
      </w:r>
    </w:p>
    <w:p>
      <w:r>
        <w:rPr>
          <w:b/>
        </w:rPr>
        <w:t>E. 2.1.1</w:t>
      </w:r>
    </w:p>
    <w:p>
      <w:r>
        <w:t>Bei der Bewertung der objektiven Tatschwere ist in Betracht zu ziehen, dass der Begriff lediglich einmalig und im kleinen, geschlossenen Personenkreis verwendet wurde. Hinsichtlich der Schwere im Sinne der Intensität und Vulgarität</w:t>
      </w:r>
    </w:p>
    <w:p>
      <w:r>
        <w:t>- 11 - der Beschimpfung gilt es allerdings zu berücksichtigen, dass unter Berücksichti- gung der gesamten Bandbreite der möglichen Beschimpfungen der Begriff "Arschloch" – mag dieser Begriff auch manchem leicht über die Lippen gehen – eine der schlimmsten Beschimpfungen der deutschen Sprache ist. Insbesondere die Ver- wendung dieses Begriffes gegenüber unbekannten Drittpersonen ist alles andere als gesellschaftskonform. Daran ändert der Umstand nichts, wonach dieser Be- griff innerhalb bestimmter Milieus durchaus zum Jargon gehören kann. In objekti- ver Hinsicht ist damit das Verschulden als nicht mehr leicht zu qualifizieren, wes- halb angesichts der sehr tiefen Strafrahmenobergrenze eine Einsatzstrafe von</w:t>
      </w:r>
    </w:p>
    <w:p>
      <w:r>
        <w:rPr>
          <w:b/>
        </w:rPr>
        <w:t>E. 2.1.2</w:t>
      </w:r>
    </w:p>
    <w:p>
      <w:r>
        <w:t>Es liegt in der Natur der Sache, dass bei ungeständigen Tätern die subjek- tiven Momente und die Motive des Handelns weitgehend im Dunkeln bleiben. Wohl kann in Einzelfällen von bestimmten äusserlich erkennbaren Handlungswei- sen auf subjektive Elemente geschlossen werden. Diese Rückschlüsse müssen jedoch geradezu zwingender Natur sein. Alles andere wäre reine Spekulation. Of- fenbar war der Beschuldigte über den Umstand, dass die Familie B._____ &amp; E._____ trotz entsprechendem Verbot unadressierte Werbung in seinen Briefkas- ten geworfen hatte, sehr verärgert (vgl. vorne E. III.3.). Der Anlass ist somit ein nichtiger und die Handlungsweise – anders als dies beispielsweise bei einem ver- balen Ausrutscher im Rahmen eines sachlich begründeten, heftig geführten und unter beidseitiger gleichwertiger Mitwirkung eskalierenden Streits der Fall wäre – in keiner Art und Weise nachvollziehbar. Es ist mithin nichts zu erkennen, was sich entlastend auf den Beschuldigten auswirkt. Dies gilt im Gegenzug auch für belastende Momente. Solche liegen nicht vor.</w:t>
      </w:r>
    </w:p>
    <w:p>
      <w:r>
        <w:rPr>
          <w:b/>
        </w:rPr>
        <w:t>E. 2.1.3</w:t>
      </w:r>
    </w:p>
    <w:p>
      <w:r>
        <w:t>Gesamthaft erscheint aufgrund des Tatverschuldens eine Einsatzstrafe von</w:t>
      </w:r>
    </w:p>
    <w:p>
      <w:r>
        <w:rPr>
          <w:b/>
        </w:rPr>
        <w:t>E. 2.2</w:t>
      </w:r>
    </w:p>
    <w:p>
      <w:r>
        <w:t>Im Berufungsverfahren werden die Kosten nach Obsiegen und Unterliegen auferlegt (Art. 428 Abs. 1 Satz 1 StPO). Der Beschuldigte unterliegt mit seiner Berufung vollumfänglich, weshalb ihm die gesamten Kosten aufzuerlegen sind.</w:t>
      </w:r>
    </w:p>
    <w:p>
      <w:r>
        <w:t>- 13 -</w:t>
      </w:r>
    </w:p>
    <w:p>
      <w:r>
        <w:rPr>
          <w:b/>
        </w:rPr>
        <w:t>E. 2.3</w:t>
      </w:r>
    </w:p>
    <w:p>
      <w:r>
        <w:t>Bei diesem Verfahrensausgang ist dem Beschuldigten die von ihm be- antragte Prozessentschädigung für anwaltliche Verteidigung im Berufungs- verfahren (Urk. 44 S. 1) nicht zuzusprechen. Es wird beschlossen: 1. Es wird festgestellt, dass das Urteil des Bezirksgerichts Bülach, Einzelge- richt, vom 9. März 2021 wie folgt in Rechtskraft erwachsen ist: "Es wird erkannt: 1. […] 2. […] 3. […] 4. Die Entscheidgebühr wird festgesetzt auf: Fr. 1'200.–; die weiteren Auslagen betragen: Fr. 1'000.– Gebühr für die Strafuntersuchung Allfällige weitere Auslagen bleiben vorbehalten. 5. […] 6. [Mitteilungen] 7. [Rechtsmittel]" 2. Mündliche Eröffnung und schriftliche Mitteilung an die Parteien mit nach- folgendem Urteil. Es wird erkannt: 1. Der Beschuldigte A._____ ist schuldig der Beschimpfung im Sinne im Sinne von Art. 177 StGB. 2. Der Beschuldigte wird bestraft mit einer Geldstrafe von 10 Tagessätzen zu Fr. 180.--. 3. Der Vollzug der Geldstrafe wird aufgeschoben und die Probezeit auf 2 Jahre festgesetzt.</w:t>
      </w:r>
    </w:p>
    <w:p>
      <w:r>
        <w:t>- 14 - 4. Die erstinstanzliche Kostenauflage (Ziff. 5) wird bestätigt. 5. Die zweitinstanzliche Gerichtsgebühr wird festgesetzt auf Fr. 3'000.--. 6. Die Kosten des Berufungsverfahrens werden dem Beschuldigten auferlegt. 7. Mündliche Eröffnung und schriftliche Mitteilung im Dispositiv an − die Verteidigung im Doppel für sich und zuhanden des Beschuldigten (übergeben) − die Staatsanwaltschaft Zürich-Limmat (versandt) sowie in vollständiger Ausfertigung an − die Verteidigung im Doppel für sich und zuhanden des Beschuldigten − die Staatsanwaltschaft Zürich-Limmat und nach unbenütztem Ablauf der Rechtsmittelfrist bzw. Erledigung allfälli- ger Rechtsmittel an − die Vorinstanz − die Koordinationsstelle VOSTRA/DNA mit Formular A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- 15 - Obergericht des Kantons Zürich I. Strafkammer Zürich, 23. September 2021 Der Präsident: Der Gerichtsschreiber: lic. iur. R. Naef MLaw S. Solms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r>
        <w:rPr>
          <w:b/>
        </w:rPr>
        <w:t>E. 3</w:t>
      </w:r>
    </w:p>
    <w:p>
      <w:r>
        <w:t>Mit Eingabe vom 28. April 2021 liess der Beschuldigte fristgerecht Beru- fung erklären (Urk. 29, Urk. 33 f.). Mit Präsidialverfügung vom 29. April 2021 wur- de B._____ (nachfolgend auch: der "Privatkläger") sowie der Staatsanwaltschaft die Berufungserklärung des Beschuldigten zugestellt und Frist für Anschlussberu- fung oder einen Nichteintretensantrag angesetzt (Urk. 36). Mit Eingabe vom</w:t>
      </w:r>
    </w:p>
    <w:p>
      <w:r>
        <w:t>- 4 - 10. Mai 2021 erklärte die Staatsanwaltschaft auf Anschlussberufung und weitere Teilnahme am Verfahren zu verzichten, und sie beantragte die Bestätigung des vorinstanzlichen Urteils (Urk. 38). Der Privatkläger liess sich nicht vernehmen. Am 9. Juni 2021 wurde zur Berufungsverhandlung auf den 23. September 2021 vor- geladen (Urk. 39). Mit Eingabe vom 17. Juni 2021 dokumentierte der Beschuldigte seine wirtschaftliche Situation (Urk. 41 f.).</w:t>
      </w:r>
    </w:p>
    <w:p>
      <w:r>
        <w:rPr>
          <w:b/>
        </w:rPr>
        <w:t>E. 4</w:t>
      </w:r>
    </w:p>
    <w:p>
      <w:r>
        <w:t>Doch auch die Aussagen des Privatklägers erweisen sich nicht als über jeden Zweifel erhaben. Anlässlich der ersten, polizeilichen Einvernahme schilder- te er den Ablauf der Geschehnisse und erwähnte dabei, wie der Beschuldigte sie, die anwesenden Personen der Familie B._____ &amp; E._____, als "Arschlöcher" titu- liert habe (Urk. 4/1 S. 1). In seiner Einvernahme vor der Staatsanwaltschaft gab er an, sich nicht mehr an Details erinnern zu können und auf seine Aussagen bei der Polizei zu verweisen. Danach befragt, was der Beschuldigte genau gesagt habe, gab er an, dies nicht mehr zu wissen und nichts mehr dazu sagen zu wollen, da bei der Polizei alles aktuell gewesen und seither viel Zeit vergangen sei (Urk. 4/2 S. 7). Trotzdem wollte er sich dann aber genau daran erinnern können, dass er den Beschuldigten nicht geschlagen, sondern diesem lediglich einen "Mupf" ge- geben habe (Urk. 4/2 S. 8 f.). Insgesamt erweisen sich somit seine Aussagen als wenig präzis und mit Blick auf die Sachverhaltsermittlung als wenig glaubhaft.</w:t>
      </w:r>
    </w:p>
    <w:p>
      <w:r>
        <w:rPr>
          <w:b/>
        </w:rPr>
        <w:t>E. 5</w:t>
      </w:r>
    </w:p>
    <w:p>
      <w:r>
        <w:t>Wie die Vorinstanz im Ergebnis zu Recht festhielt, dürfen die (belastenden) Aussagen der Auskunftsperson E._____ anlässlich der Einvernahme vom 21. Oktober 2019 (Urk. 6) nicht zulasten des Beschuldigten verwertet werden</w:t>
      </w:r>
    </w:p>
    <w:p>
      <w:r>
        <w:t>- 8 - (Urk. 30 S. 8), da dem Beschuldigten weder an der besagten Einvernahme die Möglichkeit zur Teilnahme noch zu einem späteren Zeitpunkt die Möglichkeit zum Stellen von Fragen eingeräumt wurde, was verfahrensrechtlich unzulässig war (vgl. Art. 147 Abs. 1 und 4 StPO, Art. 29 Abs. 2 BV, Art. 32 Abs. 2 BV und Art. 6 Ziff. 1 i.V.m. Art. 6 Ziff. 3 lit. d EMRK; anstelle vieler: Urteil des Bundesgerichts 6B_1219/2019 vom 24. April 2020 E. 2.1.). Einer Verwertung zugunsten des Beschuldigten steht jedoch nichts im Wege.</w:t>
      </w:r>
    </w:p>
    <w:p>
      <w:r>
        <w:rPr>
          <w:b/>
        </w:rPr>
        <w:t>E. 6</w:t>
      </w:r>
    </w:p>
    <w:p>
      <w:r>
        <w:t>Bleiben schliesslich die Aussagen des bei der Tat anwesenden Zeugen F._____. Der Zeuge F._____ gab an, der Privatkläger sei eigentlich ein Kollege von ihm. Der Privatkläger, der trotz gleichen Nachnamens nicht mit ihm verwandt sei, habe früher viel mit Autos gemacht und so habe er ihn kennengelernt. Am Tag des Vorfalls sei er dem Privatkläger (bei dessen geschäftlichen Tätigkeiten) im Restaurant "C._____" am Aushelfen gewesen (Urk. 7/2 S. 2 f.). Vor diesem Hintergrund ist, was die Glaubwürdigkeit des Zeugen F._____ betrifft, von einer gewissen persönlichen Nähe zwischen dem Privatkläger und dem Zeugen F._____ auszugehen. Entscheidend ist aber die Glaubhaftigkeit der Aussagen des Zeugen F._____. Bei der Würdigung der Aussagen des Zeugen F._____ fällt die grosse Zurückhaltung, deren Detaillierungsgrad und Differenziertheit auf. Es sind keinerlei Anzeichen erkennbar, welche auf eine gezielte Entlastung des Pri- vatklägers und eine gezielte Belastung des Beschuldigten hinweisen. So bestätig- te er, dass beide Gesprächsparteien – der Beschuldigte und E._____ – laut ge- wesen und er denke, dass die Beleidigungen gegen E._____ gerichtet gewesen seien, obwohl die Beschimpfungen im Plural gebraucht worden und damit wohl gegen alle gerichtet gewesen seien (Urk. 7/2 S. 5). Auch beschreibt er den Be- schuldigten nicht einfach als blindwütigen Agressor, sondern als anfangs ein biss- chen "hässig" (a.a.O.). So enthält er sich auch jeglicher Schuldzuweisungen (Urk. 7/2 S. 7 f.). Zudem wirken seine Aussagen auch nicht einstudiert oder mit dem Privatkläger abgesprochen, zumal letzterer ja, wie oben ausgeführt, gar kei- ne detaillierten Aussagen gemacht hat. Die Verteidigung führte in diesem Zu- sammenhang an der Berufungsverhandlung mehrere Stellen in den entsprechen- den Protokollen an, wo die Aussagen des Zeugen F._____ jeweils eine identische Formulierung und Wortwahl mit denjenigen des Privatklägers aufweisen sollen</w:t>
      </w:r>
    </w:p>
    <w:p>
      <w:r>
        <w:t>- 9 - (Urk. 44 S. 4 f.). Die Mehrheit der angeführten Aussagen sind indes nicht iden- tisch. Die von der Verteidigung isoliert zitierten Passagen aus dem Protokoll der Zeugeneinvernahme geben im Übrigen nicht die Zurückhaltung und Ausgewo- genheit des Zeugen F._____ wieder, die an anderen Stellen in der Zeugeneinver- nahme zum Ausdruck kommt. Ferner weisen die von der Verteidigung angeführ- ten Aussagen des Zeugen F._____ keine stereotypen Übereinstimmungen mit den Aussagen des Privatklägers auf. Insbesondere lässt sich, anders als es die Staatsanwältin im Rahmen der Zeugeneinvernahme insinuiert hat (Urk. 7/2 S. 9) – und entgegen der Auffassung der Verteidigung (Urk. 44 S. 6) –, nichts aus dem Umstand ableiten, dass sowohl der Zeuge F._____ als auch der Privatkläger für den Stoss des Privatklägers gegenüber dem Beschuldigten das hierorts nicht ge- bräuchliche Wort "Mupf" verwendet haben. Denn im Gegensatz zum Kanton Zü- rich ist das Wort "Mupf" im Kanton Bern, wo die beiden wohnen, sehr wohl das gebräuchliche Wort für einen Stoss, entsprechend dem hierorts gebräuchlichen "Schupf" (STAUB/TOBLER, Schweizerisches Idiotikon, Wörterbuch der schweizer- deutschen Sprache, Vierter Band, Frauenfeld 1901, S. 350). Andere sprachliche Auffälligkeiten sind eben so wenig auszumachen wie Lügensignale oder andere Hinweise auf eine verminderte Glaubhaftigkeit. Nicht erkennbar ist sodann ein ei- genes Interesse des Zeugen F._____ am Ausgang dieses Verfahrens. Die Aus- sagen des Zeugen F._____ sind insgesamt als sehr glaubhaft zu qualifizieren.</w:t>
      </w:r>
    </w:p>
    <w:p>
      <w:r>
        <w:rPr>
          <w:b/>
        </w:rPr>
        <w:t>E. 7</w:t>
      </w:r>
    </w:p>
    <w:p>
      <w:r>
        <w:t>Bringt man schliesslich die einzelnen Aussagen zueinander in Bezug, überzeugen einzig die sorgfältigen, ausgewogenen und glaubhaften Schilderun- gen des Zeugen F._____. Dieser sagte insbesondere aus, der Beschuldigte habe die im Raum anwesenden Mitglieder der Familie B._____ &amp; E._____, wozu auch B._____ gehört habe – zu letzterem Umstand hat der Beschuldigte mit dem Zeu- gen F._____ übereinstimmend ausgesagt (Urk. 5/1 S. 2, Urk. 5/2 S. 6, Urk. 43 S. 4) –, als "Arschlöcher" bezeichnet (Urk. 7/2 S. 3, S. 5 f.). An diesen glaubhaften Aussagen bestehen angesichts der wenig glaubhaften und von deutlichen Aggravationstendenzen gekennzeichneten Ausführungen des Beschuldigten kei- ne (rechtserheblichen) Zweifel. Dasselbe gilt auch unter Berücksichtigung der Aussagen von B._____ und E._____. Deren Aussagen sind zwar, wie erwähnt, wenig glaubhaft bzw. nicht zulasten des Beschuldigten verwertbar, vermögen</w:t>
      </w:r>
    </w:p>
    <w:p>
      <w:r>
        <w:t>- 10 - aber auf der anderen Seite auch nicht die Sachverhaltsdarstellung des Beschul- digten zu stützen.</w:t>
      </w:r>
    </w:p>
    <w:p>
      <w:r>
        <w:rPr>
          <w:b/>
        </w:rPr>
        <w:t>E. 8</w:t>
      </w:r>
    </w:p>
    <w:p>
      <w:r>
        <w:t>Zusammenfassend lässt sich somit festhalten, dass der Sachverhalt ge- mäss Anklage erstellt ist. III. Rechtliche Würdigung Die rechtliche Würdigung der Vorinstanz erweist sich in jeder Hinsicht als zu- treffend, weshalb vollumfänglich darauf verwiesen werden kann (Urk. 30 S. 12 f.). Der Beschuldigte ist der Beschimpfung im Sinne von Art. 177 StGB schuldig zu sprechen. IV. Strafzumessung 1. Grundsätze der Strafzumessung Diese hat die Vorinstanz zutreffend dargestellt, weshalb darauf verwiesen werden kann (Urk. 30 S. 14). Im Sinne einer allgemeinen Vorbemerkung gilt es Folgendes zu erwähnen: Die Einstufung der Beschimpfung als Vergehen erstaunt im Lichte der Tatsache, dass die Tätlichkeit im Sinne von Art. 126 StGB lediglich einen Übertretungstatbestand darstellt. Dies hat unter anderem zur Folge, dass Verur- teilungen wegen Beschimpfung im Gegensatz zu denjenigen wegen Tätlichkeiten in der Regel in das Strafregister eingetragen werden. Dies obwohl die innere zu überwindende Hürde für den Durchschnittsbürger bei der Tätlichkeit viel höher liegt als bei einer Beschimpfung. Auch die Folgen der Tätlichkeit für das Opfer dürften von diesem regelmässig als gravierender empfunden werden. Offenbar entspricht es aber dem Willen des Gesetzgebers, die Beschimpfung vergleichs- weise hart zu sanktionieren.</w:t>
      </w:r>
    </w:p>
    <w:p>
      <w:r>
        <w:rPr>
          <w:b/>
        </w:rPr>
        <w:t>E. 10</w:t>
      </w:r>
    </w:p>
    <w:p>
      <w:r>
        <w:t>Tagessätzen Geldstrafe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