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SB210201 vom 7. Oktober 2021</w:t>
      </w:r>
    </w:p>
    <w:p>
      <w:r>
        <w:t>ZH Obergericht, 2021-10-07, DE</w:t>
      </w:r>
    </w:p>
    <w:p>
      <w:r>
        <w:rPr>
          <w:b/>
        </w:rPr>
        <w:t xml:space="preserve">Quelle: </w:t>
      </w:r>
      <w:r>
        <w:t>https://mcp.opencaselaw.ch/entscheid/zh_obergericht_SB210201</w:t>
      </w:r>
    </w:p>
    <w:p>
      <w:r>
        <w:t>FR: ZH_OBERGERICHT SB210201 du 7 octobre 2021</w:t>
      </w:r>
    </w:p>
    <w:p>
      <w:r>
        <w:t>IT: ZH_OBERGERICHT SB210201 del 7 ottobre 2021</w:t>
      </w:r>
    </w:p>
    <w:p>
      <w:pPr>
        <w:pStyle w:val="Heading2"/>
      </w:pPr>
      <w:r>
        <w:t>Erwägungen</w:t>
      </w:r>
    </w:p>
    <w:p>
      <w:r>
        <w:rPr>
          <w:b/>
        </w:rPr>
        <w:t>E. 1</w:t>
      </w:r>
    </w:p>
    <w:p>
      <w:r>
        <w:t>Ausgangspunkt der vorliegenden Anklage bildet die Schädelverletzung der Hündin „C._____“ (Rasse: Prager Rattler), welche diese sich am 6. November 2018 zugezogen hat. Die Anklageschrift wirft dem Beschuldigten vor, er habe die- se (eventualvorsätzlich) mit einem Schlag mit dem Schlüsselbund verursacht (Hauptvorwurf) bzw. fahrlässig, indem er die Hündin unbeabsichtigt beim Wurf des Schlüsselbundes getroffen habe (Eventualantrag). Der Beschuldigte stellte sich demgegenüber auf den Standpunkt, er habe die Verletzung der Hündin nicht verursacht, sondern diese habe sich selber verletzt, als sie ihren Kopf an einem Stuhl angeschlagen habe. Für Einzelheiten und zum Prozessverlauf bis zum erst- instanzlichen Urteil kann auf die Ausführungen der Vorinstanz verwiesen werden (Urk. 74 S. 4 f.).</w:t>
      </w:r>
    </w:p>
    <w:p>
      <w:r>
        <w:rPr>
          <w:b/>
        </w:rPr>
        <w:t>E. 1.1</w:t>
      </w:r>
    </w:p>
    <w:p>
      <w:r>
        <w:t>Die Vorinstanz hat die Grundsätze, nach welchen eine Strafe zuzumessen ist, richtig dargestellt (Urk. 74 S. 36 ff.). Darauf und auf die Rechtsprechung des</w:t>
      </w:r>
    </w:p>
    <w:p>
      <w:r>
        <w:t>- 14 - Bundesgerichts zu diesem Thema (BGE 144 IV 217 E. 3.5.1; BGE 136 IV 55 E.</w:t>
      </w:r>
    </w:p>
    <w:p>
      <w:r>
        <w:rPr>
          <w:b/>
        </w:rPr>
        <w:t>E. 1.2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 setzliche Höchstmass der Strafart gebunden (Art. 49 Abs. 1 StGB). Bei der Bil- dung der Gesamtstrafe nach Art. 49 Abs. 1 StGB ist vorab der ordentliche Straf- rahmen für die schwerste Straftat zu bestimmen und alsdann die Einsatzstrafe für die schwerste Tat innerhalb dieses Strafrahmens festzusetzen. In einem weiteren Schritt sind die übrigen Delikte zu beurteilen, und es ist in Anwendung des Aspe- rationsprinzips aufzuzeigen, in welchem Ausmass die Einsatzstrafe zu erhöhen ist. Erst nach der Festlegung der Gesamtstrafe für sämtliche Delikte sind endlich die allgemeinen Täterkomponenten zu berücksichtigen (Urteil des Bundesgerichts 6B_466/2013 vom 25. Juli 2013 E. 2.3.2; Urteil des Bundesgerichts 6B_865/2009 vom 25. März 2010 E. 1.6.1). Darunter fallen beispielsweise ein Geständnis, das Verhalten während der Strafuntersuchung, Leumund und Vorstrafen oder beson- dere Strafempfindlichkeit, wobei Letzteres nur sehr zurückhaltend anzunehmen ist (Urteil des Bundesgerichts 6B_1065/2010 vom 31. März 2011 E. 1.10.).</w:t>
      </w:r>
    </w:p>
    <w:p>
      <w:r>
        <w:rPr>
          <w:b/>
        </w:rPr>
        <w:t>E. 2</w:t>
      </w:r>
    </w:p>
    <w:p>
      <w:r>
        <w:t>Mit dem vorstehend wiedergegebenen Urteil wurde der Beschuldigte ge- mäss dem Hauptantrag der Tierquälerei im Sinne von Art. 26 Abs. 1 lit. a TSchG und der Sachbeschädigung im Sinne von Art. 144 Abs. 1 StGB schuldig gespro- chen und mit einer Geldstrafe von 72 Tagessätzen zu Fr. 30.– sowie einer Busse von Fr. 540.– bestraft. Der Vollzug der Freiheitsstrafe wurde aufgeschoben und die Probezeit auf 3 Jahre angesetzt. Die Ersatzfreiheitsstrafe, falls die Busse schuldhaft nicht bezahlt werden sollte, wurde auf 18 Tage festgelegt. Weiter wur-</w:t>
      </w:r>
    </w:p>
    <w:p>
      <w:r>
        <w:t>- 6 - de der Beschuldigte verpflichtet, der jetzigen Halterin der Hündin C._____, welche sich als Privatklägerin konstituiert hat, Schadenersatz in der Höhe von Fr. 2‘120.55 für Tierarztkosten zu bezahlen. Ausgangsgemäss wurden die Kosten dem Beschuldigten auferlegt.</w:t>
      </w:r>
    </w:p>
    <w:p>
      <w:r>
        <w:rPr>
          <w:b/>
        </w:rPr>
        <w:t>E. 2.1</w:t>
      </w:r>
    </w:p>
    <w:p>
      <w:r>
        <w:t>Sowohl Art. 26 Abs. 1 TSchG als auch Art. 144 Abs. 1 StGB sehen einen Strafrahmen von 3 bis 180 Tagessätzen Geldstrafe (Art. 34 Abs. 1 StGB) oder von 3 Tagen bis 3 Jahren Freiheitstrafe vor (Art. 40 Abs. 1 StGB) vor. Strafmilde- rungsgründe sind keine ersichtlich, mit der Deliktsmehrheit liegt jedoch ein Straf- schärfungsgrund vor. Allerdings gibt es vorliegend keine aussergewöhnlichen Umstände, die es rechtfertigen würden, den ordentlichen Strafrahmen wegen die- ses Strafschärfungsgrundes zu verlassen. Die Deliktsmehrheit ist deshalb ledig- lich straferhöhend innerhalb des ordentlichen Strafrahmens zu berücksichtigen.</w:t>
      </w:r>
    </w:p>
    <w:p>
      <w:r>
        <w:rPr>
          <w:b/>
        </w:rPr>
        <w:t>E. 2.2</w:t>
      </w:r>
    </w:p>
    <w:p>
      <w:r>
        <w:t>Mit der Vorinstanz ist vorliegend – angesichts der gleichen Strafrahmen – von der Tierquälerei als schwerstes Delikt auszugehen. Mit Bezug auf die objekti-</w:t>
      </w:r>
    </w:p>
    <w:p>
      <w:r>
        <w:t>- 15 - ve Tatschwere ist festzuhalten, dass es sich um einen einmaligen Vorfall handel- te, die Hündin C._____ dabei jedoch nicht nur marginal verletzt wurde, sondern neben der blutenden Platzwunde eine Impressionsfraktur des Schädelknochens sowie eine Gehirnläsion erlitt. Diese Gehirnverletzung hatte epileptische Anfälle und Lähmungserscheinungen zur Folge. Diese Folgestörungen waren glückli- cherweise nur von relativ kurzer Dauer, und die Läsion sowie die Fraktur sind problemlos verheilt. Die Hündin C._____ leidet entsprechend nicht an Langzeit- schädigungen. Im Zeitpunkt des Vorfalls wurden dem Tier jedoch erhebliche Schmerzen zugefügt, und die Tatsache, dass C._____ zuerst die falsche Nach- barstreppe hinaufgerannt ist, dürfte ein Ausdruck ihrer Angst und Verwirrung auf- grund des Vorfalls gewesen sein. Insgesamt ist mit der Vorinstanz das objektive Tatverschulden als nicht mehr leicht zu qualifizieren. Bei der subjektiven Tatschwere ist zu berücksichtigen, dass aufgrund der Aus- sagen des Beschuldigten nicht davon auszugehen ist, dass er C._____ mit direk- tem Vorsatz verletzen wollte, sondern dass sein Ziel war, die in seinen Augen un- erzogene Hündin zu erziehen. Wie jedoch auch die Vorinstanz zutreffend festge- halten hat, hat er sich dabei einfach ungefragt eingemischt. Über das rein nach- barschaftliche Verhältnis hinaus kannte er weder D._____ noch deren Eltern und Grossmutter oder die Hündin C._____ selber näher. Es stand ihm somit über- haupt nicht zu, die Hündin zu erziehen. Wie das Veterinäramt nachvollziehbar ausgeführt hat, ist eine Erziehungsmassnahme von einer dem Hund fremden Person auch überhaupt nicht zielführend, weil der Hund diese nicht versteht (Urk. 52 Ziff. 3 lit. c). Zudem bestand auch keine Notsituation, welche das Eingreifen des Beschuldigten erforderlich gemacht hätte. Im Übrigen erscheint das Verhalten des Beschuldigten in gewisser Weise als feige, war es ihm als erwachsene Per- son doch sehr einfach, seine ungefragten und unerwünschten Erziehungsmass- nahmen in Anwesenheit eines bloss 10-jährigen Mädchens durchzusetzen. Das subjektive Tatverschulden vermag das objektive Tatverschulden leicht zu relati- vieren, weshalb insgesamt von einem noch leichten Tatverschulden auszugehen ist.</w:t>
      </w:r>
    </w:p>
    <w:p>
      <w:r>
        <w:t>- 16 - Aufgrund der Tatkomponente ist die Einsatzstrafe entsprechend auf 90 Strafein- heiten festzusetzen.</w:t>
      </w:r>
    </w:p>
    <w:p>
      <w:r>
        <w:rPr>
          <w:b/>
        </w:rPr>
        <w:t>E. 2.3</w:t>
      </w:r>
    </w:p>
    <w:p>
      <w:r>
        <w:t>Mit Bezug auf die Sachbeschädigung ist die objektive Tatschwere als leicht zu beurteilen. Die Schädigung von C._____ war zwar nicht marginal, aber die Verletzung ist komplikationslos verheilt und heute bestehen keine Schädigungen mehr. Das subjektive Tatverschulden wiegt ebenfalls leicht, zumal es nicht das Ziel des Beschuldigten war, die Hündin C._____ zu verletzen. Das Tatverschul- den wiegt mit Bezug auf die Sachbeschädigung somit insgesamt leicht. Für die Sachbeschädigung wäre isoliert betrachtet eine Einsatzstrafe von 60 Strafeinhei- ten angemessen. Unter Berücksichtigung der Grundsätze der Asperation ist die Strafe um 30 Strafeinheiten auf insgesamt 120 Strafeinheiten zu erhöhen.</w:t>
      </w:r>
    </w:p>
    <w:p>
      <w:r>
        <w:rPr>
          <w:b/>
        </w:rPr>
        <w:t>E. 2.4</w:t>
      </w:r>
    </w:p>
    <w:p>
      <w:r>
        <w:t>Mit Bezug auf die Täterkomponente ist das Folgende festzuhalten: Zum Vorleben und den persönlichen Verhältnissen ist aufgrund der Akten und den Ausführungen des Beschuldigten (Urk. 5/1 S. 1 f., Urk. 5/3 S. 18 f., Urk. 19/1-4, Urk. 62 S. 2 ff.; Urk. 86, 87/1-4 und Urk. 95 S.1 ff.) bekannt, dass er nach der obligatorischen Schule zunächst eine kaufmännische Lehre absolviert und später in Zürich ein Studium der Betriebswirtschaftslehre abgeschlossen hat. In der Fol- ge war der Beschuldigte bei verschiedenen Banken berufstätig, bis er sich 2009 als Vermögensberater selbständig machte. Die Berufstätigkeit scheint jedoch zu- nehmend schwierig geworden zu sein, da er bereits seit Oktober 2013 mit wirt- schaftlicher Hilfe unterstützt werden musste und sich dies seither nicht geändert hat. Der Beschuldigte bezieht aktuell wirtschaftliche Sozialhilfe von Fr. 2‘566.60 pro Monat (Fr. 986.– Grundbedarf SKOS, Fr. 1‘100.– Miete, Fr. 480.60 Kranken- kasse). Entsprechend verfügt der Beschuldigte nicht über Vermögen, sondern hat Schulden gegenüber dem Inkasso des Obergerichts (offene Verfahrenskosten). Der Beschuldigte ist geschieden und ist Vater zweier erwachsener Töchter. Ent- sprechend bestehen keine Unterstützungspflichten mehr. Im Militär war der Be- schuldigte Hauptmann. Das Vorleben und die persönlichen Verhältnisse des Be- schuldigten sind mit Bezug auf die Strafzumessung als neutral zu betrachten. Der Beschuldigte weist eine, allerdings nicht einschlägige, Vorstrafe auf wegen Fahrens ohne Haftpflichtversicherung und missbräuchlicher Verwendung von</w:t>
      </w:r>
    </w:p>
    <w:p>
      <w:r>
        <w:t>- 17 - Ausweisen und/oder Kontrollschildern (Urk. 79). Dies fällt nur leicht straferhöhend ins Gewicht. Weitere im Rahmen der Täterkomponente relevante und zu berücksichtigende Faktoren sind nicht ersichtlich. Insbesondere zeigte sich der Beschuldigte in diesem Verfahren nicht geständig, und es ist weder Einsicht noch Reue erkenn- bar. Es liegt auch keine besondere Strafempfindlichkeit vor. Insgesamt ist auf- grund der Täterkomponente die Strafe leicht zu erhöhen.</w:t>
      </w:r>
    </w:p>
    <w:p>
      <w:r>
        <w:rPr>
          <w:b/>
        </w:rPr>
        <w:t>E. 2.5</w:t>
      </w:r>
    </w:p>
    <w:p>
      <w:r>
        <w:t>Nach Berücksichtigung aller relevanter Faktoren erscheint eine Strafe von 130 Strafeinheiten dem Verschulden und den persönlichen Verhältnissen des Beschuldigten angemessen.</w:t>
      </w:r>
    </w:p>
    <w:p>
      <w:r>
        <w:rPr>
          <w:b/>
        </w:rPr>
        <w:t>E. 2.6</w:t>
      </w:r>
    </w:p>
    <w:p>
      <w:r>
        <w:t>Entgegen der Argumentation der Verteidigung (Urk. 96 S. 10) spricht auch der Fundort der Bluttropfen auf der Treppe des Nachbarhauses der Privatklägerin nicht gegen die Schilderung von D._____. Dass der Hund über die besagte Trep- pe gerannt war, ist allseits unbestritten und kann ohne Weiteres als erstellt gelten. Hierbei ist indessen nicht ersichtlich, dass die Blutstropfen zwingend unmittelbar nach dem Eintritt der Kopfverletzung zu Boden gefallen sein mussten. Vielmehr erscheint es gerade so wahrscheinlich, dass die Blutstropfen zunächst im Fell des Hundes hängen geblieben und erst durch die Bewegungen beim Rennen über die Treppe zu Boden gefallen sein könnten. Aus dem Fundort der Blutstropfen lässt sich entsprechend nichts Entscheidendes für die Erstellung des Sachverhalts ableiten. Die glaubhaften Schilderungen von D._____ werden dadurch nicht in Zweifel gezogen.</w:t>
      </w:r>
    </w:p>
    <w:p>
      <w:r>
        <w:rPr>
          <w:b/>
        </w:rPr>
        <w:t>E. 2.7</w:t>
      </w:r>
    </w:p>
    <w:p>
      <w:r>
        <w:t>Gleiches gilt auch für das DNA-Spurenbild, welches nach Darstellung der Verteidigung die Version des Beschuldigten stütze (Urk. 96 S. 8 f.). Entgegen der Argumentation der Verteidigung wurde im Gutachten des Forensischen Instituts vom 4. Februar 2019 nämlich nicht im Sinne einer positiven Aussage festgehal- ten, dass der Schlüssel nicht mit den Hund in Kontakt gekommen sei. Noch nicht einmal die Aussage, es habe sich keine Hunde-DNA auf dem Schlüssel befun-</w:t>
      </w:r>
    </w:p>
    <w:p>
      <w:r>
        <w:t>- 11 - den, ist darin zu lesen. Vielmehr hielt das FOR lediglich fest, ab dem Spu- renasservat habe sich nicht genügend Hunde-DNA extrahieren lassen, um daraus ein auswertbares DNA-Profil zu erstellen. Die erzielten Ergebnisse seien als nicht verwertbar zu beurteilen (Urk. 11/3). Mit anderen Worten ist auch dieses Beweis- mittel bloss neutral zu werten. Im Übrigen ist es keineswegs abwegig, dass der Beschuldigte nach dem Vorfall gewisse Schlüssel des bei sich zuhause aufbe- wahrten Schlüsselbundes entfernt oder gereinigt haben könnte, wusste er doch, dass ihm die Privatklägerin und deren Familie aufgrund des Vorfalles einen Vor- wurf machen, weshalb er mit einer Intervention der Polizei zumindest rechnen konnte. Zusammenfassend ist daher festzuhalten, dass die glaubhaften Aussagen von D._____ auch angesichts dieser Umstände nicht einem anderen Licht er- scheinen. 3. Nach Würdigung sämtlicher Beweismittel, wie die Vorinstanz dies ausführ- lich darlegte, verbleiben keine erheblichen Zweifel, dass sich der Sachverhalt wie in der Anklagschrift aufgrund der Aussagen von D._____ als Hauptvorwurf beschrieben zugetragen hat. Die subjektiven Sachverhaltselemente, nämlich was ein Beschuldigter wusste, wollte oder in Kauf nahm, betreffen innere Tatsachen und sind damit zwar Teil der Tatfrage. Da sich diese inneren Tatsachen bei nicht geständigen Tätern regelmässig nur gestützt auf äusserlich feststellbare Indizien und Erfahrungsregeln ermitteln lassen, die Rückschlüsse von den äusseren Um- ständen auf die innere Einstellung des Täters erlauben (Urteil des Bundesgerich- tes 6S.133/2007 vom 11. September 2008 E. 2.4), und die Beurteilung, ob im Lichte dieser äusseren Umstände der Schluss auf Vorsatz bzw. Eventualvorsatz begründet ist, eine Rechtsfrage darstellt, ist das Bestehen eines Vorsatzes bzw. Eventualvorsatzes nachfolgend im Rahmen der rechtlichen Würdigung zu beurtei- len (vgl. BGE 133 IV 1 E. 4.1; BGE 130 IV 58 E. 8.5; BGE 125 IV 242 E. 3c, je mit Hinweisen). III. Rechtliche Würdigung 1. Die Staatsanwaltschaft See / Oberland und die Vorinstanz würdigten den erstellten Sachverhalt als Tierquälerei im Sinne von Art. 26 Abs. 1 TSchG und</w:t>
      </w:r>
    </w:p>
    <w:p>
      <w:r>
        <w:t>- 12 - Sachbeschädigung im Sinne von Art. 144 Abs. 1 StGB. Zwischen diesen beiden Tatbeständen besteht echte Konkurrenz, da sie unterschiedliche Rechtsgüter schützen. Während das Tierschutzgesetz die Würde und das Wohlergehen des einzelnen Tieres schützt, stellt die Sachbeschädigung den Eingriff eines Dritten ins Eigentum einer anderen Person unter Strafe; im vorliegenden Kontext bedeu- tet dies, dass das Eigentumsrecht des Tierhalters geschützt wird (vgl. dazu BOL- LIGER/ RICHNER/RÜTTIMANN/STOHNER, Schweizer Tierschutzstrafrecht in Theorie und Praxis, 2. A., Zürich 2019, S. 233-235).</w:t>
      </w:r>
    </w:p>
    <w:p>
      <w:r>
        <w:rPr>
          <w:b/>
        </w:rPr>
        <w:t>E. 3</w:t>
      </w:r>
    </w:p>
    <w:p>
      <w:r>
        <w:t>Mit Eingabe vom 1. Oktober 2020 meldete der Beschuldigte rechtzeitig Berufung gegen das Urteil an (Urk. 70) und reichte nach Zustellung des begrün- deten Urteils mit Eingabe vom 25. Februar 2021 fristgerecht die Berufungserklä- rung ein, wobei der amtliche Verteidiger ausführte, mangels Instruktion richte sich die Berufung gegen das gesamte Urteil und erfolge allein unter dem Gesichts- punkt der anwaltlichen Sorgfaltspflicht (Urk. 75). Mit Eingabe vom 26. Februar 2021 teilte der amtliche Verteidiger mit, er halte nach erfolgter Instruktion an der Berufungserklärung fest (Urk. 77). Mit Präsidialverfügung vom 8. April 2021 wurde den übrigen Parteien die Berufungserklärung des Beschuldigten zugestellt und Frist angesetzt, um Anschlussberufung zu erklären; weiter wurde dem Beschul- digten Frist angesetzt, um zur Gebotenheit einer amtlichen Verteidigung im Beru- fungsverfahren Stellung zu nehmen und um Unterlagen zu seiner finanziellen Si- tuation einzureichen (Urk. 80). Mit Eingabe vom 15. April 2021 erhob die Staats- anwaltschaft See / Oberland fristgerecht Anschlussberufung, welche sie auf die Bemessung der Strafe und der Ersatzfreiheitsstrafe (Dispositiv-Ziffern 2 und 4) beschränkte (Urk. 82). Das Veterinäramt beantragte die Bestätigung des vo- rinstanzlichen Urteils (Urk. 88). Die Privatklägerin liess sich nicht verlauten. Auf- grund der Anschlussberufung der Staatsanwaltschaft stellte sich der amtliche Ver- teidiger in seiner Eingabe vom 30. April 2021 auf den Standpunkt, trotz Vorliegens eines Bagatellfalls sei auch im Berufungsverfahren die amtliche Verteidigung des Beschuldigten nötig (Urk. 84). Der Beschuldigte reichte zudem Belege zu seinen finanziellen Verhältnissen ins Recht (Urk. 86 und 87/1-5). Mit Präsidialverfügung vom 10. Mai 2021 wurde vom Widerruf der amtlichen Verteidigung abgesehen und festgehalten, dass die Bestellung der amtlichen Verteidigung auch für das Berufungsverfahren gelte (Urk. 90). In der Folge wurden die Parteien auf den 7. Oktober 2021 zur Berufungsverhandlung vorgeladen (Urk. 92).</w:t>
      </w:r>
    </w:p>
    <w:p>
      <w:r>
        <w:t>- 7 -</w:t>
      </w:r>
    </w:p>
    <w:p>
      <w:r>
        <w:rPr>
          <w:b/>
        </w:rPr>
        <w:t>E. 3.1</w:t>
      </w:r>
    </w:p>
    <w:p>
      <w:r>
        <w:t>Für die amtliche Verteidigung des Beschuldigten im Berufungsverfahren werden Fr. 5'021.40 zuzüglich Aufwendungen für die Berufungsverhandlung geltend gemacht (Urk. 97). Nach der bundesgerichtlichen Rechtsprechung ist es zulässig, für das Anwaltshonorar Pauschalen vorzusehen. Bei einer Honorar- bemessung nach Pauschalbeträgen werden alle prozessualen Bemühungen zusammen als einheitliches Ganzes aufgefasst und der effektive Zeitaufwand lediglich im Rahmen des Tarifansatzes berücksichtigt. Pauschalen nach Rahmen- tarifen würden sich bloss dann als verfassungswidrig erweisen, wenn sie auf die konkreten Verhältnisse in keiner Weise Rücksicht nähmen und im Einzelfall wiederum ausserhalb jedes vernünftigen Verhältnisses zu den vom Rechtsanwalt geleisteten Aufwänden stünden (BGE 143 IV 453 E. 2.5.1; 141 I 124 E. 4.3; 6B_1278/2020 vom 27. August 2021 E. 6.3.3; je mit Hinweisen). Für einen Ein- zelgerichtsfall ist die Grundgebühr für das Berufungsverfahren in der Regel im Rahmen zwischen Fr. 600.– bis Fr. 8'000.– festzusetzen (§ 17 Abs. 1 lit. a i.V.m. § 18 Abs. 1 AnwGebV OG). Die Grundlage für die Festsetzung der Gebühr bilden im Strafprozess insbesondere die Bedeutung und Schwierigkeit des Falles, die Verantwortung des Anwalts und der notwendige Zeitaufwand (§ 2 Abs. 1 Anw- GebV OG).</w:t>
      </w:r>
    </w:p>
    <w:p>
      <w:r>
        <w:rPr>
          <w:b/>
        </w:rPr>
        <w:t>E. 3.2</w:t>
      </w:r>
    </w:p>
    <w:p>
      <w:r>
        <w:t>Vorliegend handelt es sich um einen relativ einfachen Einzelgerichtsfall, bei welchem einzig ein übersichtlicher Vorfall den Prozessgegenstand bildet. Die amtliche Verteidigung geht selbst davon aus, dass es sich um einen Bagatellfall handelt (Prot. II S. 10). Im Berufungsverfahren war sodann einzig der Tathergang umstritten. Rechtlich komplexe Fragen, welche weiteres Akten- oder Rechts- studium notwendig gemacht hätten, sind nicht ersichtlich. Vor diesem Hintergrund rechtfertigt es sich, dem amtlichen Verteidiger ein Pauschalhonorar in Höhe von Fr. 4'000.– zuzusprechen.</w:t>
      </w:r>
    </w:p>
    <w:p>
      <w:r>
        <w:t>- 22 -</w:t>
      </w:r>
    </w:p>
    <w:p>
      <w:r>
        <w:t>- 23 - Es wird beschlossen:</w:t>
      </w:r>
    </w:p>
    <w:p>
      <w:r>
        <w:rPr>
          <w:b/>
        </w:rPr>
        <w:t>E. 3.3</w:t>
      </w:r>
    </w:p>
    <w:p>
      <w:r>
        <w:t>Die Höhe des Tagessatzes ist nach den wirtschaftlichen Verhältnissen des Beschuldigten festzulegen, wobei ein Tagessatz in der Regel mindestens Fr. 30.– und höchstens Fr. 30‘000.– beträgt (vgl. Art. 34 Abs. 2 StGB). Der Beschuldigte wird wie erwähnt seit längerer Zeit von der Sozialhilfe unterstützt. Es ist entspre- chend gerechtfertigt, den Tagessatz auf das Minimum von Fr. 30.– festzusetzen. 4. Die Vorinstanz kombinierte die bedingt ausgesprochene Geldstrafe in An- wendung von Art. 42 Abs. 4 StGB mit einer Busse in der Höhe von Fr. 540.– (Urk. 74 S. 48). Mit einer Verbindungsstrafe bzw. –busse im Sinne von Art. 42 Abs. 4 StGB soll im Rahmen der Massendelinquenz die sogenannte "Schnitt- stellenproblematik" zwischen einer unbedingten Busse und der bedingten Geldstrafe entschärft werden, indem durch Art. 42 Abs. 4 StGB die Möglichkeit geschaffen wird, eine spürbare Sanktion zu verhängen. Dabei können gemäss bundesgerichtlicher Rechtsprechung auch general– und spezialpräventive Aspek- te eine Rolle spielen. Sie kommt auch in Betracht, wenn man dem Täter den be- dingten Vollzug der Strafe gewähren möchte, ihm aber dennoch in gewissen Fäl- len mit der Auferlegung einer zu bezahlenden Busse einen spürbaren Denkzettel verabreichen möchte. In diesen Fällen trägt die unbedingte Verbindungsbusse dazu bei, das unter spezial– und generalpräventiven Gesichtspunkten eher gerin- ge Drohpotential der bedingten Geldstrafe zu erhöhen. Dem Täter soll ein Denk- zettel verpasst werden können, um ihm den Ernst der Lage vor Augen zu führen und zugleich zu demonstrieren, was bei Nichtbewährung droht (vgl. BGE 134 IV 1 E. 4.5; BGE 134 IV 60 E. 7.2 f.). Beim vorliegenden Fall der Tierquälerei handelt es sich nicht um ein Massende- likt, bei welchem die Schnittstellenproblematik zu berücksichtigen wäre. Der Be- schuldigte weist lediglich eine nicht einschlägige Vorstrafe auf, das Verschulden erweist sich noch als leicht. Weiter ist davon auszugehen, dass das Strafverfah-</w:t>
      </w:r>
    </w:p>
    <w:p>
      <w:r>
        <w:t>- 19 - ren und die auszusprechende Geldstrafe, welche mit 130 Tagessätzen nicht mar- ginal ausfällt, den Beschuldigten genügend beeindrucken werden, sodass aus spezialpräventiven Gesichtspunkten die Auferlegung einer zusätzlichen Busse nicht erforderlich ist, um ihm den Ernst der Lage vor Augen zu führen. Von der Festsetzung einer zusätzlichen Busse ist somit abzusehen. 5. Zusammenfassend ist somit festzuhalten, dass der Beschuldigte mit einer Geldstrafe von 130 Tagessätzen zu Fr. 30.– zu bestrafen ist. V. Vollzug Das Gericht schiebt den Vollzug einer Geldstrafe in der Regel auf, wenn eine unbedingte Strafe nicht notwendig erscheint, um den Täter von der Begehung weiterer Verbrechen oder Vergehen abzuhalten (Art. 42 Abs. 1 StGB). Wurde der Täter innerhalb der letzten fünf Jahre vor der Tat zu einer bedingten oder unbe- dingten Freiheitsstrafe von mehr als sechs Monaten verurteilt, so ist der Aufschub nur zulässig, wenn besonders günstige Umstände vorliegen (Art. 42 Abs. 2 StGB). Die objektiven und subjektiven Voraussetzungen für die Gewährung des beding- ten Vollzuges der Geldstrafe sind gegeben. Zwar weist der Beschuldigte eine Vorstrafe aus dem Jahr 2015 und somit innerhalb von fünf Jahren vor der vorlie- genden Tat auf (Strafbefehl vom 22. April 2015; Urk. 79), die Strafe belief sich aber lediglich auf 80 Tagessätze Geldstrafe. Somit ist das Vorliegen einer günsti- gen Prognose zu vermuten. Es ist zu vermuten, dass sich der Beschuldigte in Zu- kunft wohlverhalten wird, weshalb ihm der bedingte Strafvollzug zu gewähren ist. Die Probezeit ist mit der Vorinstanz auf drei Jahre anzusetzen (vgl. Art. 44 Abs. 1 StGB). VI. Zivilansprüche Die Privatklägerin hat in Anwendung von Art. 122 Abs. 1 StPO adhäsionsweise Schadenersatz in der Höhe von Fr. 2‘120.55 geltend gemacht und mit der Rechnung der Tierarztpraxis G._____ vom 7. November 2018 über Fr. 179.–</w:t>
      </w:r>
    </w:p>
    <w:p>
      <w:r>
        <w:t>- 20 - (Urk. 8/4) und der Rechnung des Tierspitals der Universität Zürich vom 13. No- vember 2018 über Fr. 1‘941.55 (Urk. 8/7) belegt. Der Beschuldigte bestritt die Forderung ohne nähere Begründung bzw. mit Verweis auf den beantragten Frei- spruch (Urk. 65 S. 10; Urk. 96 S. 16 f.). Da der Beschuldigte schuldig zu sprechen ist, ist über die anhängig gemachte Zivilklage zu entscheiden (Art. 126 Abs. 1 StPO). Die Höhe des Schadens ist durch die Rechnungen genügend substantiiert und ausgewiesen, der adäquate Kausalzusammenhang zwischen der schädigenden Handlung des Beschuldigten und dem Schaden ist ebenso erwiesen, wobei der Beschuldigte rechtswidrig und schuldhaft gehandelt hat. Der Beschuldigte ist deshalb zu verpflichten, der Privat- klägerin Schadenersatz in der Höhe von Fr. 2‘120.55 zu bezahlen. VII. Sicherstellungen Gemäss den Abklärungen der Vorinstanz ist betreffend Asservate und Sicher- stellungen lediglich noch über eine Fotografie (A012‘012‘656) zu entscheiden (Urk. 59). Diese ist, wie die Vorinstanz dies bereits angeordnet hat, nach Eintritt der Rechtskraft zu vernichten. VIII. Kosten- und Entschädigungsfolgen 1. Bei diesem Ausgang des Verfahrens ist die erstinstanzliche Kostenfest- setzung und Kostenauflage zu bestätigen (Art. 426 Abs. 1 StPO). 2. Die Gerichtsgerichtsgebühr für das Berufungsverfahren ist auf Fr. 3‘000.– festzusetzen. Die Kostenauflage erfolgt im Verhältnis von Obsiegen und Unter- liegen (Art. 428 Abs. 1 StPO). Der Beschuldigte unterliegt im vorliegenden Beru- fungsverfahren mit seinen Anträgen. Damit sind auch die zweitinstanzlichen Kos- ten – mit Ausnahme der Entschädigung für die amtliche Verteidigung – vollum- fänglich dem Beschuldigten aufzuerlegen. Der Beschuldigte lässt hinsichtlich der Kosten der amtlichen Verteidigung geltend machen, diese seien bloss aufgrund der Anschlussberufung der Staatsanwaltschaft angefallen, zumal es sich ansons- ten um einen Bagatellfall handle, welcher die Gewährung der amtlichen Verteidi-</w:t>
      </w:r>
    </w:p>
    <w:p>
      <w:r>
        <w:t>- 21 - gung nicht rechtfertige (Prot. II S. 9 f.). Nachdem vorliegend die Strafe aufgrund der Anschlussberufung der Staatsanwaltschaft erhöht wird, erscheint diese als zu Recht erhoben. Die Kosten der amtlichen Verteidigung sind daher ausgangs- gemäss nur einstweilen auf die Gerichtskasse zu nehmen. Die Rückzahlungs- pflicht des Beschuldigten gemäss Art. 135 Abs. 4 StPO ist vorzubehalten.</w:t>
      </w:r>
    </w:p>
    <w:p>
      <w:r>
        <w:rPr>
          <w:b/>
        </w:rPr>
        <w:t>E. 4</w:t>
      </w:r>
    </w:p>
    <w:p>
      <w:r>
        <w:t>Zur heutigen Berufungsverhandlung erschienen der Beschuldigte in Be- gleitung seines amtlichen Verteidigers sowie der Leitende Staatsanwalt lic. iur. M. Kehrli (Prot. II S. 5).</w:t>
      </w:r>
    </w:p>
    <w:p>
      <w:r>
        <w:rPr>
          <w:b/>
        </w:rPr>
        <w:t>E. 5</w:t>
      </w:r>
    </w:p>
    <w:p>
      <w:r>
        <w:t>Der Beschuldigte ficht das gesamte Urteil an, mit Ausnahme der Festset- zung der Gerichtkosten (Dispositiv-Ziffer 7) sowie der Höhe der von der Vo- rinstanz festgesetzten Entschädigung der amtlichen Verteidigung für das erstin- stanzliche Verfahren (Dispositiv-Ziffer 9 erster Satz). Er verlangt die Aufhebung des erstinstanzlichen Urteils und einen Freispruch von sämtlichen Vorwürfen; eventualiter sei er wegen fahrlässiger Tierquälerei schuldig zu sprechen und mit einer bedingten Geldstrafe von 10 Tagessätzen zu Fr. 30.– zu bestrafen, wobei die Probezeit auf 2 Jahre anzusetzen sei. Die Staatsanwaltschaft beantragt mit ih- rer Anschlussberufung die Bestrafung des Beschuldigten mit 150 Tagessätzen Geldstrafe zu Fr. 30.– sowie mit einer Busse von Fr. 800.–, wobei die Ersatzfrei- heitsstrafe auf 26 Tage festzusetzen sei. Das vorinstanzliche Urteil ist somit ledig- lich bezüglich Dispositiv-Ziffern 7 und 9 Satz 1 in Rechtskraft erwachsen, was vorab in einem Beschluss festzustellen ist. Ansonsten ist das Urteil des Bezirks- gerichts Uster vom 22. September 2020 vollumfänglich zu überprüfen.</w:t>
      </w:r>
    </w:p>
    <w:p>
      <w:r>
        <w:rPr>
          <w:b/>
        </w:rPr>
        <w:t>E. 5.4</w:t>
      </w:r>
    </w:p>
    <w:p>
      <w:r>
        <w:t>ff.; BGE 135 IV 130 E. 5.3.1; BGE 132 IV 102 E. 8.1, je mit Hinweisen; Bundesgerichtsentscheide 6B_466/2013 vom 25. Juli 2013, E. 2.1, und 6B_274/2013 vom 5. September 2013, E. 1.2.2) kann vorab verwiesen werden.</w:t>
      </w:r>
    </w:p>
    <w:p>
      <w:r>
        <w:rPr>
          <w:b/>
        </w:rPr>
        <w:t>E. 6</w:t>
      </w:r>
    </w:p>
    <w:p>
      <w:r>
        <w:t>Im Übrigen ist an dieser Stelle darauf hinzuweisen, dass sich die urteilende Instanz nicht mit allen Parteistandpunkten einlässlich auseinandersetzen und je- des einzelne Vorbringen ausdrücklich widerlegen muss (BGE 141 IV 249 E. 1.3.1; Urteil des Bundesgerichts 6B_46/2018 vom 14. Februar 2018 E. 4 mit Hinweisen). Das Berufungsgericht kann sich somit auf die für seinen Entscheid wesentlichen Gesichtspunkte beschränken. II. Sachverhalt 1. Die Vorinstanz hat die unbestrittenen und die strittigen Sachverhaltselemen- te zutreffend dargestellt (Urk. 74 S. 8) sowie die zur Verfügung stehenden Beweismittel, die Grundlagen der Beweiswürdigung und die Frage der Verwert- barkeit des Polizeirapportes dargelegt und behandelt (Urk. 74 S. 8-12). Diese Er- wägungen sind vollumfänglich zu teilen, weshalb auf sie zu verweisen ist. Weiter hat sich die Vorinstanz ausführlich mit der allgemeinen Glaubwürdigkeit der betei-</w:t>
      </w:r>
    </w:p>
    <w:p>
      <w:r>
        <w:t>- 8 - ligten Personen (Beschuldigter, Auskunftsperson D._____, Zeugen E._____ und F._____, Privatklägerin) auseinandergesetzt (Urk. 74 S. 12-13) und in der Folge deren Aussagen ausführlich wiedergegeben (Urk. 74 S. 13-23). Darauf ist, um Wiederholungen zu vermeiden, ebenfalls vollumfänglich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