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SB210179 vom 14. Juni 2021</w:t>
      </w:r>
    </w:p>
    <w:p>
      <w:r>
        <w:t>ZH Obergericht, 2021-06-14, DE</w:t>
      </w:r>
    </w:p>
    <w:p>
      <w:r>
        <w:rPr>
          <w:b/>
        </w:rPr>
        <w:t xml:space="preserve">Quelle: </w:t>
      </w:r>
      <w:r>
        <w:t>https://mcp.opencaselaw.ch/entscheid/zh_obergericht_SB210179</w:t>
      </w:r>
    </w:p>
    <w:p>
      <w:r>
        <w:t>FR: ZH_OBERGERICHT SB210179 du 14 juin 2021</w:t>
      </w:r>
    </w:p>
    <w:p>
      <w:r>
        <w:t>IT: ZH_OBERGERICHT SB210179 del 14 giugno 2021</w:t>
      </w:r>
    </w:p>
    <w:p>
      <w:pPr>
        <w:pStyle w:val="Heading2"/>
      </w:pPr>
      <w:r>
        <w:t>Erwägungen</w:t>
      </w:r>
    </w:p>
    <w:p>
      <w:r>
        <w:rPr>
          <w:b/>
        </w:rPr>
        <w:t>E. 1</w:t>
      </w:r>
    </w:p>
    <w:p>
      <w:r>
        <w:t>Prozessgeschichte</w:t>
      </w:r>
    </w:p>
    <w:p>
      <w:r>
        <w:rPr>
          <w:b/>
        </w:rPr>
        <w:t>E. 1.1</w:t>
      </w:r>
    </w:p>
    <w:p>
      <w:r>
        <w:t>Gegen das eingangs im Dispositiv wiedergegebene Urteil des Bezirksge- richtes Bülach, Einzelgericht, vom 16. Februar 2021, meldete der amtliche Vertei- diger des Beschuldigten am 22. Februar 2021 Berufung an (Urk. 30). Das be- gründete Urteil der Vorinstanz wurde ihm am 12. März 2021 zugestellt (Urk. 35), worauf er am 31. März 2021 die Berufungserklärung einreichte (Urk. 39).</w:t>
      </w:r>
    </w:p>
    <w:p>
      <w:r>
        <w:rPr>
          <w:b/>
        </w:rPr>
        <w:t>E. 1.2</w:t>
      </w:r>
    </w:p>
    <w:p>
      <w:r>
        <w:t>Innert angesetzter Frist gemäss Art. 400 Abs. 3 lit. b StPO beantragte die Staatsanwaltschaft Winterthur/Unterland (fortan Staatsanwaltschaft) die Bestäti- gung des vorinstanzlichen Urteils und ersuchte um Dispensation von der Teil- nahme an der Berufungsverhandlung (Urk. 43).</w:t>
      </w:r>
    </w:p>
    <w:p>
      <w:r>
        <w:rPr>
          <w:b/>
        </w:rPr>
        <w:t>E. 1.3</w:t>
      </w:r>
    </w:p>
    <w:p>
      <w:r>
        <w:t>Am 18. März 2021 wurde ein aktualisierter Strafregisterauszug über den Beschuldigten eingeholt (Urk.38).</w:t>
      </w:r>
    </w:p>
    <w:p>
      <w:r>
        <w:rPr>
          <w:b/>
        </w:rPr>
        <w:t>E. 1.4</w:t>
      </w:r>
    </w:p>
    <w:p>
      <w:r>
        <w:t>Zur Berufungsverhandlung sind der Beschuldigte sowie sein amtlicher Verteidiger erschienen (Prot. II S. 3). Der Staatsanwaltschaft war das Erscheinen antragsgemäss freigestellt worden (Urk. 45). Anlässlich der Berufungsverhand- lung reichte die Verteidigung diverse Unterlagen ins Recht (Urk. 50/1-15). Weitere Beweisanträge wurden nicht gestellt. Das Verfahren erweist sich als spruchreif.</w:t>
      </w:r>
    </w:p>
    <w:p>
      <w:r>
        <w:rPr>
          <w:b/>
        </w:rPr>
        <w:t>E. 2</w:t>
      </w:r>
    </w:p>
    <w:p>
      <w:r>
        <w:t>Prozessuales Der Beschuldigte beschränkte seine Berufung nicht (Urk. 39; Urk. 49; Prot. II S. 4), weshalb das gesamte vorinstanzliche Urteil als angefochten gilt.</w:t>
      </w:r>
    </w:p>
    <w:p>
      <w:r>
        <w:rPr>
          <w:b/>
        </w:rPr>
        <w:t>E. 3</w:t>
      </w:r>
    </w:p>
    <w:p>
      <w:r>
        <w:t>Zur Sache</w:t>
      </w:r>
    </w:p>
    <w:p>
      <w:r>
        <w:rPr>
          <w:b/>
        </w:rPr>
        <w:t>E. 3.1</w:t>
      </w:r>
    </w:p>
    <w:p>
      <w:r>
        <w:t>Der Beschuldigte bestreitet nicht, trotz rechtskräftig verfügter Landesver- weisung vom 17. September 2018 (Urk. 6) und Aufforderung des Migrationsamtes vom 5. Oktober 2018, die Schweiz unverzüglich selbständig zu verlassen (Urk. 5), in der Zeit vom 6. Oktober 2018 bis 16. März 2020 in der Schweiz verblieben zu sein (Urk. 2 in Verbindung mit Prot. I S. 6; Urk. 26 S. 1; Urk. 49 S. 2). Mithin ist der Anklagesachverhalt rechtsgenügend erstellt.</w:t>
      </w:r>
    </w:p>
    <w:p>
      <w:r>
        <w:t>- 5 -</w:t>
      </w:r>
    </w:p>
    <w:p>
      <w:r>
        <w:rPr>
          <w:b/>
        </w:rPr>
        <w:t>E. 3.2</w:t>
      </w:r>
    </w:p>
    <w:p>
      <w:r>
        <w:t>Wie bereits vor Vorinstanz macht der amtliche Verteidiger jedoch insbe- sondere geltend, eine Verurteilung wegen Verweisungsbruchs verstosse gegen die EU-Rückführungsrichtlinie vom 16. Dezember 2008 (RL 2008/115/EU [vor- mals: EG]; nachfolgend: Rückführungsrichtlinie), weshalb das Strafverfahren ein- zustellen sei (Urk. 26 S. 2 ff.; Urk. 49 S. 2 ff.). Die Vorinstanz schloss sich letzte- rer Rechtsauffassung insofern an, als sie ebenfalls davon ausging, dass die Rück- führungsrichtlinie vorliegend zur Anwendung kommt (Urk. 36 S. 8-9).</w:t>
      </w:r>
    </w:p>
    <w:p>
      <w:r>
        <w:rPr>
          <w:b/>
        </w:rPr>
        <w:t>E. 3.3</w:t>
      </w:r>
    </w:p>
    <w:p>
      <w:r>
        <w:t>Der Bundesrat hat in der Botschaft seinerzeit zu apodiktisch festgehalten, dass die "Bestimmung" bei der Landesverweisung nicht zur Anwendung komme, wobei er unter Bestimmung offenbar die Rückführungsrichtlinie meinte (BBl 2018 1685, S. 1753). Allerdings lässt sich der Botschaft entnehmen, dass der Bundes- rat den Fall im Auge hatte, in welchem eine Person trotz bestehender Landesver- weisung in die Schweiz einreist. In diesem Fall könnte die Rückführungsrichtlinie tatsächlich nicht zur Anwendung kommen, weil gegen Ausländer im Ausland na- turgemäss gar kein Rückführungsverfahren eingeleitet werden kann. Von der illegalen Einreise trotz Landesverweisung ist jedoch der Fall zu unter- scheiden, in welchem eine beschuldigte Person trotz ausgesprochener Landesverweisung das Land nicht verlässt. Das Bundesgericht hat in einem kürz- lich ergangenen Entscheid diesbezüglich klargestellt, dass hier die Rückführungs- richtlinie auch auf den Tatbestand des Verweisungsbruchs gemäss Art. 291 StGB Anwendung findet (Urteil 6B_1398/2020 vom 10. März 2021 E. 1.6). Darauf hat die Verteidigung zu Recht verwiesen (Urk. 49 S. 7).</w:t>
      </w:r>
    </w:p>
    <w:p>
      <w:r>
        <w:rPr>
          <w:b/>
        </w:rPr>
        <w:t>E. 3.4</w:t>
      </w:r>
    </w:p>
    <w:p>
      <w:r>
        <w:t>Ist die Rückführungsrichtlinie demnach zu berücksichtigen, wäre für eine Verurteilung vorliegend von Belang, ob dem Beschuldigten – mit der Vorinstanz – vorgeworfen werden könnte, er sei nach seiner Haftentlassung vom 5. Oktober 2018 bis zu seiner Verhaftung am 15. Juni 2020 untergetaucht und habe so staat- liche Entfernungsmassnahmen verhindert. Indessen wird ihm solches in der Anklageschrift gar nicht vorgeworfen (vgl. Urk. 17) und wäre überdies zu vernei- nen. So hat die Verteidigung zutreffend dargelegt, dass bis anhin weder die mig- rationsrechtlichen Akten beigezogen noch Abklärungen bei der Notunterkunfts- stelle B._____ oder dem Sozialamt B._____ getroffen wurden, um die Aussage</w:t>
      </w:r>
    </w:p>
    <w:p>
      <w:r>
        <w:t>- 6 - des Beschuldigten zu verifizieren, wonach er sich nach seiner Haftentlassung am</w:t>
      </w:r>
    </w:p>
    <w:p>
      <w:r>
        <w:rPr>
          <w:b/>
        </w:rPr>
        <w:t>E. 3.5</w:t>
      </w:r>
    </w:p>
    <w:p>
      <w:r>
        <w:t>Ebenfalls berechtigt ist der Einwand des Beschuldigten, es seien nicht sämtliche zumutbaren Möglichkeiten für den Vollzug der Rückkehrentscheidung angewendet worden. Der Beschuldigte liess hierzu an der Berufungsverhandlung diverse Belege einreichen, welche zwar Anfragen an die marokkanische Botschaft und die Aufforderung zu Ausreisegesprächen dokumentieren (Urk. 49 S. 10 f.; Urk. 50/1-6; Urk. 50/11-13). Zwangsmassnahmen respektive Weiterungen zur Durchsetzung der Ausreisepflicht gegen den Beschuldigten sind hingegen nicht ersichtlich. Dass bereits zweckdienliche Massnahmen zur hoheitlichen Durch- setzung der Landesverweisung ergriffen wurden, erscheint auch deshalb zweifel- haft, weil dem Beschuldigten solches in der Entlassungsanordnung vom 5. Okto- ber 2018 erst für den Fall angedroht wurde, dass er der Aufforderung zur selb- ständigen Ausreise keine Folge leiste und erneut angetroffen werde (Urk. 5). Vor diesem Hintergrund ist zusammenfassend davon auszugehen, dass bis anhin keine (zwangsweisen) Entfernungsmassnahmen ergriffen wurden.</w:t>
      </w:r>
    </w:p>
    <w:p>
      <w:r>
        <w:t>- 7 -</w:t>
      </w:r>
    </w:p>
    <w:p>
      <w:r>
        <w:rPr>
          <w:b/>
        </w:rPr>
        <w:t>E. 3.6</w:t>
      </w:r>
    </w:p>
    <w:p>
      <w:r>
        <w:t>Im Anwendungsbereich der Rückführungsrichtlinie muss auf die Ver- hängung und den Vollzug einer Freiheitsstrafe verzichtet werden, wenn gegen den illegal anwesenden Betroffenen ein Wegweisungsentscheid erging und die erforderlichen Entfernungsmassnahmen noch nicht ergriffen wurden. Das Rück- kehrverfahren geht in einem solchen Fall einer freiheitsentziehenden Sanktion vor und mutiert zu einem eigentlichen Strafverfolgungshindernis (vgl. dazu BGE 143 IV 249; s.a. ZÜND, in: OF-Komm. Migrationsrecht, 5. Aufl. 2019, N 10 zu Art. 80 AIG m.H.). Vorliegend steht aufgrund der zahlreichen Vorstrafen des auf staatli- che Nothilfe angewiesenen Beschuldigten eine Geldstrafe nicht zur Diskussion. Es wäre einzig die Sanktionierung mit einer Freiheitsstrafe in Betracht zu ziehen (Art. 41 StGB), weshalb ein Strafverfolgungshindernis besteht und das Strafver- fahren in Nachachtung der Grundsätze der Rückführungsrichtlinie einzustellen ist (vgl. Art. 329 Abs. 4 StPO und Art. 319 Abs. 1 lit. d StPO).</w:t>
      </w:r>
    </w:p>
    <w:p>
      <w:r>
        <w:rPr>
          <w:b/>
        </w:rPr>
        <w:t>E. 3.7</w:t>
      </w:r>
    </w:p>
    <w:p>
      <w:r>
        <w:t>Dabei ist der Vollständigkeit halber darauf hinzuweisen, dass Art. 115 Abs. 1 AIG subsidiär zum Verweisungsbruch nach Art. 291 StGB ist und bei Vor- liegen einer rechtskräftigen Landesverweisung nicht zur Anwendung gelangt (Ur- teil 6B_1398/2020 vom 10. März 2021 E. 1.1.). Eine Sistierung des Verfahrens gemäss Art. 115 Abs. 4 AIG kommt daher nicht in Betracht. Da Verfahrenshinder- nisse sodann in allen Verfahrensstadien "vorweg" und laufend zu prüfen sind (vgl. Urteil 6B_277/2012 vom 14. August 2012 E. 2.2 m.H.), hat es mit der Verfahrenseinstellung sein bewenden. Ob dem Beschuldigten – im Sinne der wei- teren Vorbringen der Verteidigung – eine Ausreise unmöglich und er daher vom Vorwurf des Verweisungsbruches freizusprechen wäre (vgl. Urk. 49 S. 2-6), muss mithin nicht geprüft werden. 4. Kosten- und Entschädigungsfolgen sowie Genugtuung 4.1. Die erstinstanzliche Kostenfestsetzung (Ziff. 4) wird seitens der Verteidi- gung nicht beanstandet und ist daher zu bestätigen (Urk. 49 S. 1). Beantragt wird jedoch die vollständige Kostenübernahme durch die Staatskasse. 4.2. Verfahrenskosten werden vom Bund oder dem Kanton getragen, der das Verfahren geführt hat, soweit sie nicht der beschuldigten Person auferlegt werden</w:t>
      </w:r>
    </w:p>
    <w:p>
      <w:r>
        <w:t>- 8 - können. Letzteres ist der Fall bei einer Verurteilung (Art. 423 und 426 Abs. 1 StPO). Wird das Verfahren eingestellt, so können ihr dann Kosten auferlegt wer- den, wenn sie die Einleitung des Verfahrens rechtswidrig und schuldhaft bewirkt oder die Durchführung erschwert hat (Art. 426 Abs. 2 StPO). Die Kosten des Be- rufungsverfahrens sind den Parteien sodann nach Massgabe ihres Obsiegens und Unterliegens aufzuerlegen (Art. 428 Abs. 1 StPO). 4.3. Nachdem das Verfahren einzustellen ist, der Beschuldigte die Einleitung des Verfahrens weder rechtswidrig oder schuldhaft bewirkt noch dessen Durch- führung erschwert hat und mit seiner Berufung vollumfänglich obsiegt, sind die Kosten der Untersuchung und der gerichtlichen Verfahren vor beiden Instanzen auf die Gerichtskasse zu nehmen. 4.4. Der seitens der amtlichen Verteidigung geltend gemachte Aufwand für das Berufungsverfahren von Fr. 4'166.10 (inkl. MwSt.) ist ausgewiesen und ange- messen (Urk. 50/15). Unter zusätzlicher Berücksichtigung der Aufwendungen im Zusammenhang mit der Berufungsverhandlung samt Wegentschädigung sowie Nachbesprechung rechtfertigt es sich daher, Rechtsanwalt MLaw X._____ als amtlicher Verteidiger pauschal mit Fr. 4'600.– (inkl. MwSt.) zu entschädigen. 4.5. Überdies sind dem Beschuldigten aus der Gerichtskasse antragsgemäss Fr. 250.– nebst Zins zu 5% seit 15. Juni 2020 als Genugtuung für erlittene Unter- suchungshaft zuzusprechen (Art. 429 Abs. 1 lit. c StPO; vgl. zum Anspruch auf Verzinsung der Genugtuung bei ungerechtfertigter Haft: Urteil 6B_1404/2016 vom 13. Juni 2017 E. 2.2.).</w:t>
      </w:r>
    </w:p>
    <w:p>
      <w:r>
        <w:t>- 9 - Es wird erkannt: 1. Das Strafverfahren gegen den Beschuldigten A._____ wird eingestellt. 2. Die erstinstanzliche Kostenfestsetzung (Ziff. 4) wird bestätigt. 3. Die zweitinstanzliche Gerichtsgebühr fällt ausser Ansatz. Die weiteren Kos- ten betragen: Fr. 4'600.– amtliche Verteidigung. 4. Die Kosten der Untersuchung und der Gerichtsverfahren beider Instanzen, einschliesslich derjenigen der amtlichen Verteidigung, werden auf die Gerichtskasse genommen. 5. Dem Beschuldigten werden Fr. 250.– nebst Zins zu 5% seit 15. Juni 2020 als Genugtuung aus der Gerichtskasse zugesprochen.</w:t>
      </w:r>
    </w:p>
    <w:p>
      <w:r>
        <w:rPr>
          <w:b/>
        </w:rPr>
        <w:t>E. 6</w:t>
      </w:r>
    </w:p>
    <w:p>
      <w:r>
        <w:t>Mündliche Eröffnung und schriftliche Mitteilung im Dispositiv an − die amtliche Verteidigung im Doppel für sich und zuhanden des Be- schuldigten (übergeben) − die Staatsanwaltschaft Winterthur/Unterland (versandt) sowie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 − die Koordinationsstelle VOSTRA/DNA zur Entfernung der Daten ge- mäss Art. 12 Abs. 1 lit. d VOSTRA (mittels Kopie von Urk. 38) − die Kantonspolizei Zürich, KDM-ZD, mit separatem Schreiben (§ 54a Abs. 1 PolG).</w:t>
      </w:r>
    </w:p>
    <w:p>
      <w:r>
        <w:rPr>
          <w:b/>
        </w:rPr>
        <w:t>E. 7</w:t>
      </w:r>
    </w:p>
    <w:p>
      <w:r>
        <w:t>Gegen diesen Entscheid kann bundesrechtliche Beschwerde in Straf- sachen erhoben werden.</w:t>
      </w:r>
    </w:p>
    <w:p>
      <w:r>
        <w:t>- 10 -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Juni 2021 Der Präsident: Der Gerichtsschreiber: lic. iur. B. Gut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