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SB210141 vom 21. Juni 2021</w:t>
      </w:r>
    </w:p>
    <w:p>
      <w:r>
        <w:t>ZH Obergericht, 2021-06-21, DE</w:t>
      </w:r>
    </w:p>
    <w:p>
      <w:r>
        <w:rPr>
          <w:b/>
        </w:rPr>
        <w:t xml:space="preserve">Quelle: </w:t>
      </w:r>
      <w:r>
        <w:t>https://mcp.opencaselaw.ch/entscheid/zh_obergericht_SB210141</w:t>
      </w:r>
    </w:p>
    <w:p>
      <w:r>
        <w:t>FR: ZH_OBERGERICHT SB210141 du 21 juin 2021</w:t>
      </w:r>
    </w:p>
    <w:p>
      <w:r>
        <w:t>IT: ZH_OBERGERICHT SB210141 del 21 giugno 2021</w:t>
      </w:r>
    </w:p>
    <w:p>
      <w:pPr>
        <w:pStyle w:val="Heading2"/>
      </w:pPr>
      <w:r>
        <w:t>Erwägungen</w:t>
      </w:r>
    </w:p>
    <w:p>
      <w:r>
        <w:rPr>
          <w:b/>
        </w:rPr>
        <w:t>E. 1</w:t>
      </w:r>
    </w:p>
    <w:p>
      <w:r>
        <w:t>Verfahrensgang</w:t>
      </w:r>
    </w:p>
    <w:p>
      <w:r>
        <w:rPr>
          <w:b/>
        </w:rPr>
        <w:t>E. 1.1</w:t>
      </w:r>
    </w:p>
    <w:p>
      <w:r>
        <w:t>Zum Verfahrensgang bis zum vorinstanzlichen Urteil kann zwecks Ver- meidung von Wiederholungen auf die zutreffenden Erwägungen der Vorinstanz im angefochtenen Entscheid verwiesen werden (Urk. 27 S. 3 E. I.).</w:t>
      </w:r>
    </w:p>
    <w:p>
      <w:r>
        <w:rPr>
          <w:b/>
        </w:rPr>
        <w:t>E. 1.2</w:t>
      </w:r>
    </w:p>
    <w:p>
      <w:r>
        <w:t>Mit Urteil des Bezirksgerichts Horgen vom 16. November 2020 wurde der Beschuldigte gemäss dem eingangs wiedergegebenen Urteilsdispositiv schuldig gesprochen und bestraft. Gegen dieses Urteil meldete er fristgemäss Berufung an (Urk. 23). Ihr begründetes Urteil versandte die Vorinstanz am 22. Februar 2021 (Urk. 26/1-2).</w:t>
      </w:r>
    </w:p>
    <w:p>
      <w:r>
        <w:rPr>
          <w:b/>
        </w:rPr>
        <w:t>E. 1.3</w:t>
      </w:r>
    </w:p>
    <w:p>
      <w:r>
        <w:t>Innert Frist erklärte der Beschuldigte mit Eingabe vom 3. März 2021 Berufung (Urk. 28 f.). Mit Verfügung vom 10. März 2021 ging die Berufungser- klärung an die Staatsanwaltschaft und wurde dieser Frist angesetzt, um zu erklären, ob Anschlussberufung erhoben wird oder um ein Nichteintreten auf die Berufung zu beantragen (Urk. 31). Mit Eingabe vom 15. März 2021 verzichtete die Staatsanwaltschaft auf eine Anschlussberufung (Urk. 33).</w:t>
      </w:r>
    </w:p>
    <w:p>
      <w:r>
        <w:t>- 4 -</w:t>
      </w:r>
    </w:p>
    <w:p>
      <w:r>
        <w:rPr>
          <w:b/>
        </w:rPr>
        <w:t>E. 1.4</w:t>
      </w:r>
    </w:p>
    <w:p>
      <w:r>
        <w:t>Am 21. Juni 2021 fand die Berufungsverhandlung statt, zu welcher der Beschuldigte in Begleitung seines amtlichen Verteidigers, Rechtsanwalt lic. iur. X._____, erschien (Prot. II S. 3).</w:t>
      </w:r>
    </w:p>
    <w:p>
      <w:r>
        <w:rPr>
          <w:b/>
        </w:rPr>
        <w:t>E. 2</w:t>
      </w:r>
    </w:p>
    <w:p>
      <w:r>
        <w:t>Umfang der Berufung Der Beschuldigte lässt nur die Ziffer 4 (Landesverweisung) des vorinstanzlichen Urteils anfechten. Soweit das vorinstanzliche Urteil unangefochten blieb und da- mit rechtskräftig wurde, ist davon vorab mit Beschluss Vormerk zu nehmen.</w:t>
      </w:r>
    </w:p>
    <w:p>
      <w:r>
        <w:rPr>
          <w:b/>
        </w:rPr>
        <w:t>E. 2.1</w:t>
      </w:r>
    </w:p>
    <w:p>
      <w:r>
        <w:t>Die Gebühr für das Berufungsverfahrens ist praxisgemäss auf Fr. 2'500.-- festzusetzen (§ 16 Abs. 1 GebV OG i.V.m. § 14 Abs. 1 GebV OG). Die Kostenauf- lage erfolgt im Rechtsmittelverfahren im Verhältnis von Obsiegen und Unterliegen (Art. 428 Abs. 1 StPO). Der Beschuldigte unterliegt mit seinem Antrag. Daher sind ihm die Kosten des Berufungsverfahrens, mit Ausnahme derjenigen der amtlichen Verteidigung, vollumfänglich aufzuerlegen. Die Kosten der amtlichen Verteidigung sind einstweilen und unter Vorbehalt der Nachzahlungspflicht nach Art. 135 Abs. 4 StPO auf die Gerichtskasse zu nehmen.</w:t>
      </w:r>
    </w:p>
    <w:p>
      <w:r>
        <w:rPr>
          <w:b/>
        </w:rPr>
        <w:t>E. 2.2</w:t>
      </w:r>
    </w:p>
    <w:p>
      <w:r>
        <w:t>Der amtliche Verteidiger des Beschuldigten, Rechtsanwalt lic. iur. X._____, reichte an der Berufungsverhandlung seine Honorarnote mit der Auflistung seiner Aufwendungen und Auslagen im Berufungsverfahren ein (Urk. 41). Sie sind aus- gewiesen und erweisen sich als angemessen. Hinzuzufügen ist der zeitliche Auf- wand für eine kurze Besprechung des Berufungsentscheides mit dem Beschuldig- ten, weshalb es angemessen erscheint, Rechtsanwalt lic. iur. X._____ mit pau- schal Fr. 2'200.-- (inkl. MwSt.) aus der Gerichtskasse zu entschädigen ist.</w:t>
      </w:r>
    </w:p>
    <w:p>
      <w:r>
        <w:t>- 10 - Es wird beschlossen: 1. Es wird festgestellt, dass das Urteil des Bezirksgerichts Horgen vom 16. November 2020 wie folgt in Rechtskraft erwachsen ist: Es wird erkannt: 1. Der Beschuldigte ist schuldig - des Betruges im Sinne von Art. 146 Abs. 1 StGB, sowie - der mehrfachen Urkundenfälschung im Sinne von Art. 251 Ziff. 1 StGB. 2. Der Beschuldigte wird bestraft mit einer Freiheitsstrafe von 8 Monaten. 3. Der Vollzug der Freiheitsstrafe wird aufgeschoben und die Probezeit auf 2 Jahre fest- gesetzt. 4. […]</w:t>
      </w:r>
    </w:p>
    <w:p>
      <w:r>
        <w:rPr>
          <w:b/>
        </w:rPr>
        <w:t>E. 2.3</w:t>
      </w:r>
    </w:p>
    <w:p>
      <w:r>
        <w:t>In zutreffender Würdigung der persönlichen Verhältnisse des Beschuldig- ten und dessen Interessen an einem Verbleib in der Schweiz kam die Vorinstanz zum Schluss, dass kein schwerer persönlicher Härtefall im Sinne von Art. 66a Abs. 2 StGB vorliege (Urk. 27 S. 27 f. E. VII. 2.6. f.), darauf kann vorab vollum- fänglich verwiesen werden. Es sei nochmals hervorgehoben, dass der Beschul- digte während der gesamten Dauer seiner Anwesenheit in der Schweiz entweder kurzweiligen oder temporären Arbeiten nachging, arbeitslos war oder Sozialhilfe bezog, wobei es namentlich auch zur Katalogtat der vorliegend zu beurteilenden Landesverweisung kam. Ergänzend ist festzuhalten, dass der Beschuldigte inzwi- schen erneut arbeitslos ist (E. II.2.1.). Es kann daher weder von einer gelungenen beruflichen Integration in der Schweiz ausgegangen werden, noch dass der Be- schuldigte ein wichtiger Teil des hiesigen Wirtschaftssystems ist. Insbesondere vermag er aus seinen Vorbringen, wonach er auf Stellensuche und betreffend zwei offene Stellen in der engeren Auswahl sei (E. II.2.1. f.), nichts Entscheiden- des zu seinen Gunsten abzuleiten. Weiter ist zu bemerken, dass die Delinquenz gegenüber dem Staat, der ihn während Notzeiten unterstützte, von einer Haltung gegenüber dem Gemeinwesen zeugt, welche ein schlechtes Licht auf seine In- tegration wirft. Daran ändert auch nichts, dass der Beschuldigte damit begonnen hat, die zu viel bezogenen Unterstützungsbeiträge zurückzuzahlen (Urk. 39/3), zumal er hierzu ohnehin verpflichtet ist. Ausser der längeren Verweildauer in der Schweiz sind keinerlei besonderen, über die (gerade noch knapp) normale In- tegration hinausgehenden Gründe ersichtlich, welche einer Landesverweisung entgegenstünden. Solche wurden vom Beschuldigten denn auch nicht dargetan. Der Wunsch, in der Schweiz zu bleiben (E. II.2.2.), begründet jedenfalls kein be- sonderer Härtefall. Eine eigentliche Verwurzelung hat nicht stattgefunden und es erscheint mit der Vorinstanz zumutbar, die bestehende Partnerschaft mit C._____ im Ausland weiterzuleben. Seine Partnerin ist mangels Arbeitstätigkeit und man- gels Abhängigkeit von staatlichen Unterstützungsleistungen sowie mangels in der Schweiz lebender Familienangehöriger nicht standortgebunden (E. II.2.1.). Was die Resozialisierungs- und Wiedereingliederungschancen in Deutschland anbe- langt, ist zunächst festzuhalten, dass sämtliche der näheren Familienangehörigen des Beschuldigten in Deutschland leben, insbesondere sein Sohn und sein Bru-</w:t>
      </w:r>
    </w:p>
    <w:p>
      <w:r>
        <w:t>- 8 - der. Zu ihnen pflegte er gemäss eigenen Angaben vor Vorinstanz und entgegen der Darstellung der Verteidigung immerhin noch bis November 2020 einen guten und regelmässigen Kontakt. Zudem fuhr er in den letzten Jahren immerhin ein- bis zweimal pro Jahr nach Deutschland zu seiner Familie (Prot. I S. 11 f.). Auch wenn sich der Kontakt zwischenzeitlich etwas reduzierte, was gemäss den eige- nen Angaben des Beschuldigten, vor allem auch auf die Corona-Pandemie zu- rückzuführen ist, ist er jedenfalls gewillt, den Kontakt künftig wieder zu intensivie- ren (E. II.2.2.). Selbst wenn dem Beschuldigten eine berufliche Reintegration in Deutschland insbesondere angesichts seines Alters nicht ganz einfach fallen soll- te, ist immerhin festzuhalten, dass er in seinem Lebenslauf eine erst kürzlich be- endete Festanstellung in seiner angestammten Tätigkeit sowie eine Weiterbildung zum Elektrotechnik-Meister ausweisen kann, was ihm bei der Stellensuche zu- gutekommen dürfte. Die nicht ganz einfache berufliche Reintegration in Deutsch- land erweist sich jedenfalls nicht als erheblich genug, um von einer Landesver- weisung abzusehen. Insgesamt ist das Vorliegen eines schweren persönlichen Härtefalls somit zu verneinen.</w:t>
      </w:r>
    </w:p>
    <w:p>
      <w:r>
        <w:rPr>
          <w:b/>
        </w:rPr>
        <w:t>E. 3</w:t>
      </w:r>
    </w:p>
    <w:p>
      <w:r>
        <w:t>Interessenabwägung Da vorliegend ein schwerer persönlicher Härtefall verneint wird, erübrigt sich die Vornahme einer Interessenabwägung zwischen dem privaten Interesse des Straftäters am Verbleib in der Schweiz und dem öffentlichen Interesse der Schweiz an seiner Ausweisung (Urteil des Bundesgerichts 6B_34/2019 vom 5. September 2019, E. 2.4.3).</w:t>
      </w:r>
    </w:p>
    <w:p>
      <w:r>
        <w:rPr>
          <w:b/>
        </w:rPr>
        <w:t>E. 4</w:t>
      </w:r>
    </w:p>
    <w:p>
      <w:r>
        <w:t>Dauer der Landesverweisung Für die obligatorische Landesverweisung ist eine Mindestdauer von fünf Jahren und – vorbehältlich Art. 66b Abs. 1 StGB – eine Maximaldauer von 15 Jahren vor- gesehen (Art. 66a Abs. 1 StGB). Da die Vorinstanz für den Beschuldigten bereits eine Landesverweisung für die Mindestdauer von fünf Jahren angeordnet hat, erübrigen sich aufgrund des Verschlechterungsverbots weitere Ausführungen zur Dauer der Landesverweisung.</w:t>
      </w:r>
    </w:p>
    <w:p>
      <w:r>
        <w:t>- 9 -</w:t>
      </w:r>
    </w:p>
    <w:p>
      <w:r>
        <w:rPr>
          <w:b/>
        </w:rPr>
        <w:t>E. 5</w:t>
      </w:r>
    </w:p>
    <w:p>
      <w:r>
        <w:t>Die Entscheidgebühr wird festgesetzt auf: Fr. 1'800.00 ; die weiteren Kosten betragen: Fr. 2'100.00 Gebühr für das Vorverfahren, Kosten für die amtliche Verteidigung (inkl. Barauslagen und Mehr- Fr. 6'574.10 wertsteuer) Verlangt keine der Parteien ein Begründung, ermässigt sich die Entscheidgebühr um einen Drittel. Allfällige weitere Kosten bleiben vorbehalten.</w:t>
      </w:r>
    </w:p>
    <w:p>
      <w:r>
        <w:rPr>
          <w:b/>
        </w:rPr>
        <w:t>E. 6</w:t>
      </w:r>
    </w:p>
    <w:p>
      <w:r>
        <w:t>Die Kosten der Untersuchung und des gerichtlichen Verfahrens, ausser diejenigen der amtlichen Verteidigung, werden dem Beschuldigten auferlegt. Die Kosten der amtlichen Verteidigung werden auf die Gerichtskasse genommen; vorbehalten bleibt eine Nachforderung gemäss Art. 135 Abs. 4 StPO. 7.-8. […] 2. Mündliche Eröffnung und schriftliche Mitteilung mit nachfolgendem Urteil.</w:t>
      </w:r>
    </w:p>
    <w:p>
      <w:r>
        <w:t>- 11 - Es wird erkannt: 1. Der Beschuldigte wird im Sinne von Art. 66a Abs. 1 lit. e StGB für 5 Jahre des Landes verwiesen. 2. Die zweitinstanzliche Gerichtsgebühr wird festgesetzt auf: Fr. 2'500.-- ; die weiteren Kosten betragen: Fr. 2'200.-- amtliche Verteidigung 3. Die Kosten des Berufungsverfahrens – mit Ausnahme der Kosten der amtli- chen Verteidigung – werden dem Beschuldigten auferlegt. Die Kosten der amtlichen Verteidigung für das Berufungsverfahren werden einstweilen auf die Gerichtskasse genommen. Die Rückzahlungspflicht des Beschuldigten bleibt gemäss Art. 135 Abs. 4 StPO vorbehalten. 4. Mündliche Eröffnung und schriftliche Mitteilung im Dispositiv an − die amtliche Verteidigung im Doppel für sich und zuhanden des Beschuldigten (übergeben) − die Staatsanwaltschaft Limmattal / Albis (versandt) − das Migrationsamt des Kantons Zürich (versandt) sowie in vollständiger Ausfertigung an − die amtliche Verteidigung im Doppel für sich und zuhanden des Beschuldigten − die Staatsanwaltschaft Limmattal / Albis und nach unbenütztem Ablauf der Rechtsmittelfrist bzw. Erledigung allfälliger Rechtsmittel an − das Migrationsamt des Kantons Zürich − die Vorinstanz mit dem Ersuchen um Vornahme der notwendigen Mitteilungen an die weiteren Behörden, inkl. Formular A 5. Gegen diesen Entscheid kann bundesrechtliche Beschwerde in Straf- sachen erhoben werden. Die Beschwerde ist innert 30 Tagen, von der Zustellung der vollständigen, begründeten Ausfertigung an gerechnet, bei der Strafrechtlichen Abteilung</w:t>
      </w:r>
    </w:p>
    <w:p>
      <w:r>
        <w:t>- 12 -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21. Juni 2021 Der Präsident: Die Gerichtsschreiberin: lic. iur. Ch. Prinz MLaw N. Hunziker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