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SB210115 vom 7. September 2021</w:t>
      </w:r>
    </w:p>
    <w:p>
      <w:r>
        <w:t>ZH Obergericht, 2021-09-07, DE</w:t>
      </w:r>
    </w:p>
    <w:p>
      <w:r>
        <w:rPr>
          <w:b/>
        </w:rPr>
        <w:t xml:space="preserve">Quelle: </w:t>
      </w:r>
      <w:r>
        <w:t>https://mcp.opencaselaw.ch/entscheid/zh_obergericht_SB210115</w:t>
      </w:r>
    </w:p>
    <w:p>
      <w:r>
        <w:t>FR: ZH_OBERGERICHT SB210115 du 7 septembre 2021</w:t>
      </w:r>
    </w:p>
    <w:p>
      <w:r>
        <w:t>IT: ZH_OBERGERICHT SB210115 del 7 settembre 2021</w:t>
      </w:r>
    </w:p>
    <w:p>
      <w:pPr>
        <w:pStyle w:val="Heading2"/>
      </w:pPr>
      <w:r>
        <w:t>Erwägungen</w:t>
      </w:r>
    </w:p>
    <w:p>
      <w:r>
        <w:rPr>
          <w:b/>
        </w:rPr>
        <w:t>E. 1</w:t>
      </w:r>
    </w:p>
    <w:p>
      <w:r>
        <w:t>Hintergrund der vorliegenden Anklage bildet das Speichern und einmalige Weiterleiten einer zugestellten Bilddatei mit kinderpornografischem Inhalt mittels der App Snapchat. Dieser Vorgang wurde in den USA als CyberTipline Report 64879359 dem National Center for Missing and Exploited Children (NCMEC) ge- meldet; dieses leitete eine Hinweismeldung zum Nutzer des Snapchat–Profils „B._____“ an die Bundeskriminalpolizei in Bern weiter. Ermittlungen zu diesem Benutzerprofil führten zum Beschuldigten. Zum Prozessverlauf bis zum erstin- stanzlichen Urteil kann auf die Ausführungen der Vorinstanz verwiesen werden (Urk. 41 S. 4).</w:t>
      </w:r>
    </w:p>
    <w:p>
      <w:r>
        <w:rPr>
          <w:b/>
        </w:rPr>
        <w:t>E. 2</w:t>
      </w:r>
    </w:p>
    <w:p>
      <w:r>
        <w:t>Mit dem vorstehend wiedergegebenen Urteil vom 16. November 2020 wurde der Beschuldigte der harten Pornografie im Sinne von Art. 197 Abs. 4 Satz 2 StGB schuldig gesprochen und mit einer bedingten Geldstrafe von 80 Tagessät- zen zu Fr. 30.–, wobei die Probezeit auf zwei Jahre festgesetzt wurde, sowie mit einer Busse von Fr. 400.– bestraft. Zudem wurde ein lebenslängliches Tätigkeits- verbot im Sinne von Art. 67 Abs. 3 StGB angeordnet sowie eine Bewährungshilfe gestützt auf Art. 67 Abs. 6 StGB. Ausgangsgemäss wurden dem Beschuldigten die Verfahrenskosten auferlegt (Urk. 41 S. 28 f.).</w:t>
      </w:r>
    </w:p>
    <w:p>
      <w:r>
        <w:rPr>
          <w:b/>
        </w:rPr>
        <w:t>E. 2.1</w:t>
      </w:r>
    </w:p>
    <w:p>
      <w:r>
        <w:t>Tatkomponente Bei der objektiven Tatschwere ist zu berücksichtigen, dass es sich um eine einzi- ge kinderpornografische Bilddatei gehandelt hat, welche der Beschuldigte auf sei- nem Mobiltelefon gespeichert und ebenfalls ein einziges Mal an eine Drittperson weitergeleitet hat. Die Vorinstanz hat allerdings zu Recht festgehalten, dass das Bild offensichtlich ein minderjähriges Mädchen zeigt und einen ganz klaren sexu- ellen Bezug aufweist. Es ist somit auch von einem juristischen Laien unzweifelhaft als ein kinderpornografisches Bild zu erkennen. Trotzdem hat der Beschuldigte das Bild absichtlich gespeichert und gar einmalig weitergeleitet. Zu Recht hat die Vorinstanz darauf hingewiesen, dass durch diese Handlung der Beschuldigte da- zu beigetragen hat, dass dieses Bild weiter konsumiert und weiterverbreitet wird. Ein solches Handeln ist nicht zu bagatellisieren, im Rahmen des Tatbestandes von Art. 197 Abs. 4 StGB erscheint aber die objektive Tatschwere als sehr leicht. Mit Bezug auf die subjektive Tatschwere ist dem Beschuldigten zu Gute zu halten, dass der Beschuldigte die Tat sicher nicht von langer Hand geplant hat, sondern die ihm zugeschickte Bilddatei ohne sich viel dabei zu überlegen gespeichert und dann auch weitergeleitet hat. Zu berücksichtigen ist, dass der Beschuldigte im Tatzeitpunkt gerade einmal 19–jährig und damit noch sehr jung war. Obwohl sich</w:t>
      </w:r>
    </w:p>
    <w:p>
      <w:r>
        <w:t>- 7 - junge Leute in der Regel gewandt im Internet und auf sozialen Plattformen bewe- gen, dürfte ihnen aufgrund des jugendlichen Alters trotzdem häufig nicht klar sein, wo die Grenzen zur Strafbarkeit verlaufen und dass das Verhalten in der virtuellen Welt einen Einfluss auf die reale Welt hat (zum Beispiel im vorliegenden Fall, dass das Mädchen missbraucht wurde, um dieses Bild herzustellen und dies wei- ter geschieht, wenn solche Bilder konsumiert und geteilt werden). Der Beschuldig- te bedachte die Konsequenzen seine Handelns offensichtlich zu wenig; entspre- chend zeigte er sich überfordert vom Strafverfahren, welches durch das einmalige Speichern und Versenden dieser kinderpornografischen Datei ausgelöst worden ist (vgl. Urk. 3/1 F/A 53). Ebenso ist dem Beschuldigten zu Gute zu halten, dass er keine pädosexuellen Beweggründe hatte, dieses Bild zu speichern und weiter- zuleiten. Gemäss eigenen Angaben fand er das Bild nicht sexuell erregend, son- dern schockierend (Urk. 3/3 F/A 18). Die subjektive Tatschwere erweist sich somit auch als sehr leicht, weshalb insgesamt von einem sehr leichten Tatverschulden auszugehen ist.</w:t>
      </w:r>
    </w:p>
    <w:p>
      <w:r>
        <w:rPr>
          <w:b/>
        </w:rPr>
        <w:t>E. 2.2</w:t>
      </w:r>
    </w:p>
    <w:p>
      <w:r>
        <w:t>Täterkomponente Der Beschuldigte gab zu seinen persönlichen Verhältnissen an, er sei in C._____ geboren und in D._____ aufgewachsen. In D._____ habe er die Primar– und Se- kundarschule besucht. Im Anschluss habe er in Zürich die KV–Lehre gemacht und im Anschluss die BMS. Dann arbeitete er in der Unternehmung seiner Eltern, der E._____ Vorsorge AG in einem Vollpensum (Prot. I S. 6 f.; Urk. 51/1). Mo- mentan ist der Beschuldigte nicht berufstätig, da er in Kürze ein Studium in … in Winterthur beginne (Prot. II S. 5 f.). Der Beschuldigte weist keine Vorstrafen auf. Das Vorleben des Beschuldigten erweist sich mit Bezug auf die Strafzumessung als neutral. Der Beschuldigte zeigte sich in der Strafuntersuchung geständig, wobei die Vorinstanz zu Recht darauf hingewiesen hat, dass die Beweislage erdrückend war. Insgesamt äusserte der Beschuldigte glaubhaft Reue und Einsicht (zum Bei- spiel Urk. 3/3 F/A 35; Prot. I S. 14 f.; Prot. II S. 12). Er anerkannte den Schuld- spruch vor zweiter Instanz, hat sich offenbar mit dem Leid des auf dem Foto ab- gebildeten Mädchens auseinandergesetzt und sich über richtiges Verhalten im In-</w:t>
      </w:r>
    </w:p>
    <w:p>
      <w:r>
        <w:t>- 8 - ternet informiert (Prot. II S. 11 f.). Er übernimmt damit Verantwortung für sein Ver- halten und steht zu seinem Fehler. Dieses Nachtatverhalten ist somit insgesamt deutlich strafmindernd zu berücksichtigen.</w:t>
      </w:r>
    </w:p>
    <w:p>
      <w:r>
        <w:rPr>
          <w:b/>
        </w:rPr>
        <w:t>E. 2.3</w:t>
      </w:r>
    </w:p>
    <w:p>
      <w:r>
        <w:t>Da das Verhalten des Beschuldigten zwar nicht zu verharmlosen ist, ihm je- doch ein sehr leichtes Verschulden und ein positives Nachtatverhalten attestiert werden kann, erscheint in Anbetracht des Strafrahmens bis zu fünf Jahren Frei- heitsstrafe eine Strafe von 60Strafeinheiten als angemessen.</w:t>
      </w:r>
    </w:p>
    <w:p>
      <w:r>
        <w:rPr>
          <w:b/>
        </w:rPr>
        <w:t>E. 3</w:t>
      </w:r>
    </w:p>
    <w:p>
      <w:r>
        <w:t>Mit Eingabe vom 17. November 2020 meldete der Beschuldigte rechtzeitig Berufung gegen das Urteil an (Urk. 28) und reichte am 1. März 2021 ebenfalls fristgerecht die Berufungserklärung ein (Urk. 38/2 und Urk. 43). Innerhalb der mit Präsidialverfügung vom 4. März 2021 angesetzten Frist verzichtete die Staatsan- waltschaft Limmattal / Albis auf Anschlussberufung und beantragte die Bestäti- gung des vorinstanzlichen Urteils (Urk. 44–46). Mit Eingabe vom 12. April 2021 reichte der Beschuldigte das ausgefüllte Datenerfassungsblatt sowie den Lohn- ausweis 2020 ein (Urk. 50 und 51/1–2).</w:t>
      </w:r>
    </w:p>
    <w:p>
      <w:r>
        <w:t>- 5 -</w:t>
      </w:r>
    </w:p>
    <w:p>
      <w:r>
        <w:rPr>
          <w:b/>
        </w:rPr>
        <w:t>E. 3.1</w:t>
      </w:r>
    </w:p>
    <w:p>
      <w:r>
        <w:t>Diese angemessene Strafe von 60 Strafeinheiten liegt im Bereich, in wel- chem sich die beiden Sanktionsarten Geld– und Freiheitsstrafe überschneiden. Bei der Wahl der Sanktionsart sind gemäss Rechtsprechung als wichtigste Krite- rien die Zweckmässigkeit einer Sanktion, ihre Auswirkungen auf den Täter und sein soziales Umfeld sowie ihre präventive Effizienz zu berücksichtigen (BGE 134 IV 97, E. 4.2). Nach dem Prinzip der Verhältnismässigkeit soll bei alternativ zur Verfügung stehenden Sanktionen im Regelfall diejenige gewählt werden, die we- niger stark in die persönliche Freiheit des Betroffenen eingreift beziehungsweise die ihn am wenigsten hart trifft (BGE 134 IV 97, E. 4.2.2). Eine Freiheitsstrafe wiegt immer schwerer als eine Geldstrafe, unabhängig von der Dauer der Frei- heitsstrafe beziehungsweise der Höhe des Geldstrafenbetrages (BGE 144 IV 217, E. 3.3.3 und 3.4., je m.w.H.). Für Strafen von weniger als sechs Monaten ist grundsätzlich eine Geldstrafe auszusprechen (vgl. Art. 34 Abs. 1 StGB i.V.m. Art. 41 Abs. 1 StGB; vgl. BGE 137 IV 312, E. 2.4). Eine Freiheitsstrafe ist lediglich dann auszufällen, wenn eine solche geboten erscheint, um den Täter vor weiteren Verbrechen oder Vergehen abzuhalten (Art. 41 Abs. 1 lit. a StGB) oder wenn eine Geldstrafe voraussichtlich nicht vollzogen werden kann (Art. 41 Abs. 1 lit. b StGB).</w:t>
      </w:r>
    </w:p>
    <w:p>
      <w:r>
        <w:rPr>
          <w:b/>
        </w:rPr>
        <w:t>E. 3.2</w:t>
      </w:r>
    </w:p>
    <w:p>
      <w:r>
        <w:t>Im vorliegenden Fall ist die angemessene Sanktionsart offensichtlich die Geldstrafe. Insbesondere hat der Beschuldigte glaubhaft und nachvollziehbar ausgeführt, dass er seine Lehren aus diesem Verfahren gezogen hat (Prot. I S. 14 f.; Prot. II 11 f.). Die Strafe ist somit auf 60 Tagessätze Geldstrafe festzuset- zen.</w:t>
      </w:r>
    </w:p>
    <w:p>
      <w:r>
        <w:t>- 9 -</w:t>
      </w:r>
    </w:p>
    <w:p>
      <w:r>
        <w:rPr>
          <w:b/>
        </w:rPr>
        <w:t>E. 3.3</w:t>
      </w:r>
    </w:p>
    <w:p>
      <w:r>
        <w:t>Die Höhe des Tagessatzes ist nach den wirtschaftlichen Verhältnissen des Beschuldigten festzulegen, wobei ein Tagessatz in der Regel mindestens Fr. 30.– und höchstens Fr. 30‘000.– beträgt (vgl. Art. 34 Abs. 2 StGB). Der Beschuldigte ist ledig, wohnt zurzeit noch bei den Eltern und arbeitete bis vor Kurzem im Un- ternehmen seiner Eltern, wo er knapp Fr. 3‘000.– (netto, inkl. 13. Monatslohn) verdiente (Urk. 51/1). Dieses Einkommen stand dem Beschuldigten vollständig zur Verfügung, da er seinen Eltern keinen Mietanteil zu bezahlen hatte und diese auch die Krankenkassenprämien übernahmen (Prot. I S. 8). Er hat keine Schul- den, aber ein Vermögen von ca. Fr. 20‘000.–. Bei diesen finanziellen Verhältnis- sen hat die Vorinstanz die Höhe des Tagessatzes auf Fr. 30.– festgelegt (Urk. 41 S.20 f.). Dies erweist sich in Anbetracht, dass der Beschuldigte den gesamten Nettolohn für seine eigenen Bedürfnisse verwenden konnte und keinen Mietanteil zu bezahlen hatte, als sehr niedrig. Wie der Beschuldigte an der Berufungsver- handlung angab, beginne er auf das Herbstsemester ein …-Studium in Win- terthur, wo er dann in einem Wohnheim wohnen werde. Er arbeite aufgrund des Studiums nicht mehr bei den Eltern und werde künftig vielleicht in den Semester- ferien einer Arbeitstätigkeit nachgehen können. Er bezahle die Krankenkasse so- wie einen Mietanteil von Fr. 850.– nun selbst (Prot. II S. 6 f.). Da der Beschuldigte somit kein Einkommen mehr hat, erweist sich der Tagessatz von Fr. 30.– nun- mehr als angemessen, zumal er auch selbst von ihm so beantragt wird. 4. Die Vorinstanz kombinierte die bedingt ausgesprochene Geldstrafe in An- wendung von Art. 42 Abs. 4 StGB mit einer Busse in der Höhe von Fr. 400.– (Urk. 41 S. 19 f.). Mit einer Verbindungsstrafe bzw. –busse im Sinne von Art. 42 Abs. 4 StGB soll im Rahmen der Massendelinquenz die sogenannte "Schnittstel- lenproblematik" zwischen einer unbedingten Busse und der bedingten Geldstrafe entschärft werden, indem durch Art. 42 Abs. 4 StGB die Möglichkeit geschaffen wird, eine spürbare Sanktion zu verhängen. Dabei können gemäss bundesge- richtlicher Rechtsprechung auch general– und spezialpräventive Aspekte eine Rolle spielen. Sie kommt auch in Betracht, wenn man dem Täter den bedingten Vollzug der Strafe gewähren möchte, ihm aber dennoch in gewissen Fällen mit der Auferlegung einer zu bezahlenden Busse einen spürbaren Denkzettel verab- reichen möchte. In diesen Fällen trägt die unbedingte Verbindungsbusse dazu</w:t>
      </w:r>
    </w:p>
    <w:p>
      <w:r>
        <w:t>- 10 - bei, das unter spezial– und generalpräventiven Gesichtspunkten eher geringe Drohpotential der bedingten Geldstrafe zu erhöhen. Dem Täter soll ein Denkzettel verpasst werden können, um ihm den Ernst der Lage vor Augen zu führen und zugleich zu demonstrieren, was bei Nichtbewährung droht (vgl. BGE 134 IV 1 E. 4.5; BGE 134 IV 60 E. 7.2 f.). Beim vorliegenden Fall handelt es sich nicht um ein Massendelikt, bei welchem die Schnittstellenproblematik zu berücksichtigen wäre. Der Beschuldigte weist keine Vorstrafe auf, das Verschulden erweist sich als sehr leicht, und es ist davon auszugehen, dass das Strafverfahren und die auszusprechende Geldstrafe, wel- che mit 60 Tagessätzen nicht ganz marginal ausfällt, den Beschuldigten genü- gend beeindrucken werden, sodass aus spezialpräventiven Gesichtspunkten die Auferlegung einer zusätzlichen Busse nicht erforderlich ist, um ihm den Ernst der Lage vor Augen zu führen. Von der Festsetzung einer zusätzlichen Busse ist so- mit abzusehen.</w:t>
      </w:r>
    </w:p>
    <w:p>
      <w:r>
        <w:rPr>
          <w:b/>
        </w:rPr>
        <w:t>E. 4</w:t>
      </w:r>
    </w:p>
    <w:p>
      <w:r>
        <w:t>Der Beschuldigte liess zunächst – mit Ausnahme der Entschädigung für sei- nen vormaligen amtlichen Verteidiger (Dispositivziffer 7) – das gesamte Urteil an- fechten (Urk. 43). Kurz vor der Berufungsverhandlung liess der Beschuldigte je- doch mitteilen, dass er den Schuldpunkt anerkenne, was er auch anlässlich der Verhandlung bestätigte (Urk. 52, Prot. II S. 5). Bezüglich Dispositivziffern 1 (Schuldspruch) und 7 (Entschädigung der amtlichen Verteidigung) ist das vo- rinstanzliche Urteil in Rechtskraft erwachsen, was vorab festzustellen ist. Im rest- lichen Umfang ist das Urteil im Berufungsverfahren zu überprüfen.</w:t>
      </w:r>
    </w:p>
    <w:p>
      <w:r>
        <w:rPr>
          <w:b/>
        </w:rPr>
        <w:t>E. 5</w:t>
      </w:r>
    </w:p>
    <w:p>
      <w:r>
        <w:t>Das erstinstanzliche Kostendispositiv (Ziff. 8-9) wird bestätigt.</w:t>
      </w:r>
    </w:p>
    <w:p>
      <w:r>
        <w:rPr>
          <w:b/>
        </w:rPr>
        <w:t>E. 6</w:t>
      </w:r>
    </w:p>
    <w:p>
      <w:r>
        <w:t>Die zweitinstanzliche Gerichtsgebühr wird festgesetzt auf Fr. 3‘000.–.</w:t>
      </w:r>
    </w:p>
    <w:p>
      <w:r>
        <w:rPr>
          <w:b/>
        </w:rPr>
        <w:t>E. 7</w:t>
      </w:r>
    </w:p>
    <w:p>
      <w:r>
        <w:t>Die Kosten des Berufungsverfahrens werden zu zwei Dritteln dem Beschul- digten auferlegt und zu einem Drittel auf die Gerichtskasse genommen.</w:t>
      </w:r>
    </w:p>
    <w:p>
      <w:r>
        <w:t>- 19 -</w:t>
      </w:r>
    </w:p>
    <w:p>
      <w:r>
        <w:rPr>
          <w:b/>
        </w:rPr>
        <w:t>E. 8</w:t>
      </w:r>
    </w:p>
    <w:p>
      <w:r>
        <w:t>Dem Beschuldigten wird für das Berufungsverfahren eine reduzierte Pro- zessentschädigung von Fr. 1'650.– zugesprochen.</w:t>
      </w:r>
    </w:p>
    <w:p>
      <w:r>
        <w:rPr>
          <w:b/>
        </w:rPr>
        <w:t>E. 9</w:t>
      </w:r>
    </w:p>
    <w:p>
      <w:r>
        <w:t>Mündliche Eröffnung und schriftliche Mitteilung im Dispositiv an − die Verteidigung im Doppel für sich und zuhanden des Beschuldigten (übergeben) − die Staatsanwaltschaft Limmattal / Albis sowie in vollständiger Ausfertigung an − die Verteidigung im Doppel für sich und zuhanden des Beschuldigten − die Staatsanwaltschaft Limmattal / Albis − das Bundesamt für Polizei und nach unbenütztem Ablauf der Rechtsmittelfrist bzw. Erledigung allfälli- ger Rechtsmittel an − die Vorinstanz − die Koordinationsstelle VOSTRA/DNA mit Formular A.</w:t>
      </w:r>
    </w:p>
    <w:p>
      <w:r>
        <w:rPr>
          <w:b/>
        </w:rPr>
        <w:t>E. 10</w:t>
      </w:r>
    </w:p>
    <w:p>
      <w:r>
        <w:t>Rechtsmittel: Gegen diesen Entscheid kann bundesrechtliche Beschwerde in Strafsachen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w:t>
      </w:r>
    </w:p>
    <w:p>
      <w:r>
        <w:t>- 20 - Obergericht des Kantons Zürich II. Strafkammer Zürich, 7. September 2021 Die Präsidentin: Die Gerichtsschreiberin: Oberrichterin lic. iur. Haus Stebler MLaw Wolter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