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SB200389 vom 23. September 2021</w:t>
      </w:r>
    </w:p>
    <w:p>
      <w:r>
        <w:t>ZH Obergericht, 2021-09-23, DE</w:t>
      </w:r>
    </w:p>
    <w:p>
      <w:r>
        <w:rPr>
          <w:b/>
        </w:rPr>
        <w:t xml:space="preserve">Quelle: </w:t>
      </w:r>
      <w:r>
        <w:t>https://mcp.opencaselaw.ch/entscheid/zh_obergericht_SB200389</w:t>
      </w:r>
    </w:p>
    <w:p>
      <w:r>
        <w:t>FR: ZH_OBERGERICHT SB200389 du 23 septembre 2021</w:t>
      </w:r>
    </w:p>
    <w:p>
      <w:r>
        <w:t>IT: ZH_OBERGERICHT SB200389 del 23 settembre 2021</w:t>
      </w:r>
    </w:p>
    <w:p>
      <w:pPr>
        <w:pStyle w:val="Heading2"/>
      </w:pPr>
      <w:r>
        <w:t>Erwägungen</w:t>
      </w:r>
    </w:p>
    <w:p>
      <w:r>
        <w:rPr>
          <w:b/>
        </w:rPr>
        <w:t>E. 1</w:t>
      </w:r>
    </w:p>
    <w:p>
      <w:r>
        <w:t>Als Beweismittel liegt unter anderem der von den Beschuldigten mit einem Mobiltelefon angefertigte Videoclip vor, auf welchem auch der Unfall festgehalten wurde. Der Verteidiger des Beschuldigten B._____ machte anlässlich der Beru- fungsverhandlung erneut geltend, diese Aufnahme sei prozessual nicht verwert- bar, weshalb sie aus den Strafakten zu entfernen sei (Urk. 96) Die Verteidigung des Beschuldigten A._____ schloss sich diesem als Vorfrage aufgeworfenen An- trag an (Prot. II S. 7). Der vom Verteidiger des Beschuldigten B._____ erwähnte Bundesgerichtsentscheid 6B_1188/2018 ist allerdings nicht einschlägig, da dort die Videoaufnahme durch eine Dashcam eines anderen Fahrzeuges erfolgte. Deshalb wusste die gefilmte Person in jenem Fall weder von der Aufnahme noch gab sie dazu ihr Einverständnis.</w:t>
      </w:r>
    </w:p>
    <w:p>
      <w:r>
        <w:rPr>
          <w:b/>
        </w:rPr>
        <w:t>E. 2</w:t>
      </w:r>
    </w:p>
    <w:p>
      <w:r>
        <w:t>Im vorliegenden Fall erfolgte die Videoaufnahme im Gegensatz zur Recht- sprechung des Bundesgerichts im Zusammenhang mit Dashcams im Wissen und mit Willen aller Beteiligter, insbesondere des Beschuldigten. Es war ihre Absicht und ihr Ziel, die waghalsige Aktion auf Video festzuhalten, um sie dann anderen</w:t>
      </w:r>
    </w:p>
    <w:p>
      <w:r>
        <w:t>- 6 - Kollegen oder Personen vorzuzeigen oder selbst anschauen zu können. Wer sich selbst filmt, ist in seinen Persönlichkeitsrechten nicht verletzt. Die Ansicht, wo- nach die prozessuale Verwertbarkeit aufgrund Art. 4 Abs. 4 DSG das Einver- ständnis zur Verwendung in einem Strafverfahren voraussetze, kann nicht geteilt werden. Ansonsten wären private Videoaufnahmen nie prozessual verwertbar, denn es darf zwanglos davon ausgegangen werden, dass niemand freiwillig mit der strafrechtlichen Verwendung von Beweismitteln gegen sich einverstanden wä- re. Würde das Bundesgericht die Meinung der Verteidigung teilen, so hätte es dies in seinen bisherigen Entscheiden zu privaten Videoaufnahmen mit Sicherheit erwähnt, weil sich damit die vom Bundesgericht abgehandelte rechtliche Proble- matik im Lichte des DSG gar nicht gestellt hätte.</w:t>
      </w:r>
    </w:p>
    <w:p>
      <w:r>
        <w:rPr>
          <w:b/>
        </w:rPr>
        <w:t>E. 3</w:t>
      </w:r>
    </w:p>
    <w:p>
      <w:r>
        <w:t>Die Verteidigung machte vor Vorinstanz Ausführungen über Anstiftung und Gehilfenschaft, weil die Anklageschrift bei der groben Verletzung der Verkehrs- regeln die Tatform der Anstiftung nennt (Urk. 54 S. 3 - 9; Anklageschrift Urk. 35 S. 3). Bereits die Vorinstanz hat allerdings mit überzeugenden Argumenten fest- gehalten, dass von Mittäterschaft auszugehen ist (Urk. 70 S. 10 - 16). Die beteilig- ten Mitbeschuldigen haben in der Untersuchung die Schuld am Vorfall nie gegen- seitig zugeschoben oder ausgesagt, dass sie nur angestiftet oder geholfen hätten. C._____ und B._____ sagten in dem Sinne aus, dass es eine spontane, gemeinsam beschlossene Aktion gewesen sei (Urk. 4 S. 4; Urk. 5 S. 2). Nicht umsonst verwendeten die Beteiligten in ihrer Konfrontationseinvernahme jeweils die Formulierung "wir haben …." oder "Die zweite Szene auf dem Feldweg war das Thema, dass wir diese Szene nochmals machen sollten" (Urk. 7, z.B. S. 4 und 5). Es erscheint geradezu juristisch spitzfindig und lebensfremd, nun im Nachhinein gewisse Unterscheidungen in den Beteiligungsformen vorzunehmen, allein wegen irgendwelchen Ausrufen während der Fahrt. Es ist klar erstellt, dass das Vorhaben gemeinsam geplant war, ja wegen der schlechten Videoqualität beim ersten Versuch sogar nochmals wiederholt wurde. Alle waren damit einverstanden und alle feuerten sich gegenseitig an, sei es aus- drücklich oder konkludent. Die Jauchzer und das Lachen der Beteiligten während der ganzen Aktion, wie im Videoclip hörbar, sprechen eine eindeutige Sprache: jugendlicher Leichtsinn und kollektiver Übermut nach Alkoholgenuss war die Triebfeder. Dass einer der Beteiligten die Führungsrolle übernommen hatte und sozusagen die beiden anderen zur leichtsinnigen Aktion überredet habe, kann ebenso wenig gesagt werden wie, dass einer davon abgeraten hat. Dies belegt auch die Schilderung von B._____, dass C._____ in erster Linie deshalb die Rolle als Fahrer übernommen habe, da er als einziger im Besitz eines gültigen Fahr- ausweises gewesen sei (vgl. Urk. 95 S. 6). Bezeichnend für das gemeinschaftli- che Vorgehen ist im Übrigen auch, dass der Beschuldigte B._____ anlässlich der Berufungsverhandlung nicht sagen konnte, wer seiner Ansicht nach Schuld am</w:t>
      </w:r>
    </w:p>
    <w:p>
      <w:r>
        <w:t>- 8 - Unfall ist (Urk. 95 S. 6). Auch der Beschuldigte A._____ konnte sich nicht festle- gen, wer denn nun schuld sei am Unfall (Urk. 94 S. 6). Weiter ist zu bemerken, dass der Beschuldigte A._____ jederzeit die Möglichkeit gehabt hätte, einen Abbruch des Stunts zu verlangen, zumal er dazu bloss mit dem Filmen aufhören, auf den Beifahrersitz hinunterrutschen und den Fahrer zum Anhalten hätte auffordern müssen. Eine solche Äusserung des Beschuldigten A._____ erfolgte aber nicht. Vielmehr war er während der gesamten Stuntfahrt mit dem Vorgehen einverstanden. Entgegen der Ansicht der amtlichen Verteidigung des Beschuldigten A._____, ist auch erstellt, dass dieser den Vorsatz betreffend die begangenen Verkehrsregelverletzungen mitgetragen hat (vgl. Urk. 98 S. 12). Eine Stuntfahrt, wie sie die Beschuldigten beabsichtigt und durchgeführt haben, beinhaltet zwangsläufig auch waghalsiges Fahren und damit Verletzungen der Verkehrsre- geln. Würde man demgegenüber vereinbaren, auf einem dunklen und dem Fahrer unbekannten Schotterweg angemessen und unter Einhaltung aller Verkehrsregeln zu fahren, könnte daraus kein Stuntvideo resultieren, wäre die zu fahrende Ge- schwindigkeit doch viel zu tief und das Video nicht spannend genug. Entspre- chend ist auch nicht ersichtlich, inwiefern Stuntfahrten im öffentlichen Verkehr überhaupt je unter Einhaltung der Verkehrsregeln möglich sein sollen. Der Ta- tentschluss der Beschuldigten umfasste mit dem Vorhaben, eine Stuntfahrt zu machen, auch die dazu notwendigen Verletzungen der Verkehrsregeln und die damit einhergehende Gefährdung. Es ist von einem gemeinschaftlichen Willen und somit von Mittäterschaft auszu- gehen. Es kann auf die zutreffenden Ausführungen der Vorinstanz verwiesen werden (Urk. 70 S. 16 - 20).</w:t>
      </w:r>
    </w:p>
    <w:p>
      <w:r>
        <w:rPr>
          <w:b/>
        </w:rPr>
        <w:t>E. 4</w:t>
      </w:r>
    </w:p>
    <w:p>
      <w:r>
        <w:t>Die Annahme von Mittäterschaft wurde in der ergänzten Anklageschrift zu- dem explizit aufgeführt, weshalb in dieser Hinsicht keine Probleme mit dem Anklageprinzip zu erkennen sind.</w:t>
      </w:r>
    </w:p>
    <w:p>
      <w:r>
        <w:t>- 9 - 5.1. Gemäss Art. 30 Abs. 1 SVG in Verbindung mit Art. 60 Abs. 2 VRV darf der Führer eines Motorfahrzeuges Personen nur auf den dafür eingerichteten Plätzen mitführen. Zudem ist das Hinauslehnen aus dem Fahrzeug gemäss Art. 60 Abs. 5 VRV untersagt. Weder B._____ noch A._____ sassen auf den Sitzen des Fahr- zeuges, weshalb beide Tatbestände erfüllt sind. 5.2. Gemäss Art. 31 Abs. 1 SVG muss der Führer eines Fahrzeuges dieses ständig so beherrschen, dass er seinen Vorsichtspflichten nachkommen kann. Dabei hat er laut Art. 32 Abs. 1 SVG die Geschwindigkeit den konkreten Verhält- nissen anzupassen. Der unbeleuchtete, gekieste Schotterweg, auf welchem die Beschuldigten ihre leichtsinnige Aktion mitten in der Nacht durchführten, war für die konkret gefahrene Geschwindigkeit in völliger Dunkelheit nicht geeignet. Als Folge davon verlor C._____ die Herrschaft über das Fahrzeug. Auch diese beiden Tatbestände sind erfüllt. 5.3. Die Beschuldigten B._____ und A._____ trugen während der Aktion keine Sicherheitsgurte. Damit verstiessen sie gegen die entsprechende Vorschrift über die Gurtentragpflicht von Art. 57 Abs. 5 lit. a SVG in Verbindung mit Art. 3a Abs. 1 VRV. 5.4. Alle geschilderten Verkehrsregelverletzungen stehen in engem, untrennba- ren Zusammenhang und sind letztlich Folge der gewollten leichtsinnigen und le- bensgefährlichen Aktion. Eine Aufteilung in einzelne Gesetzesverstösse hinsicht- lich der Schwere der Gefährdung und des Verschuldens wäre rein künstlich. Des- halb ist insgesamt von einer vorsätzlichen groben Verletzung von Verkehrsregeln im Sinne von Art. 90 Abs. 2 SVG auszugehen.</w:t>
      </w:r>
    </w:p>
    <w:p>
      <w:r>
        <w:rPr>
          <w:b/>
        </w:rPr>
        <w:t>E. 6</w:t>
      </w:r>
    </w:p>
    <w:p>
      <w:r>
        <w:t>Die zweitinstanzliche Gerichtsgebühr wird festgesetzt auf: Fr. 3'000.– ; die weiteren Kosten betragen: Fr. 5'400.– amtliche Verteidigung</w:t>
      </w:r>
    </w:p>
    <w:p>
      <w:r>
        <w:rPr>
          <w:b/>
        </w:rPr>
        <w:t>E. 7</w:t>
      </w:r>
    </w:p>
    <w:p>
      <w:r>
        <w:t>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w:t>
      </w:r>
    </w:p>
    <w:p>
      <w:r>
        <w:rPr>
          <w:b/>
        </w:rPr>
        <w:t>E. 8</w:t>
      </w:r>
    </w:p>
    <w:p>
      <w:r>
        <w:t>Mündliche Eröffnung und schriftliche Mitteilung im Dispositiv an − die amtliche Verteidigung im Doppel für sich und zuhanden des Beschuldigten (übergeben) − die Staatsanwaltschaft Winterthur/Unterland (übergeben) sowie in vollständiger Ausfertigung an − die amtliche Verteidigung im Doppel für sich und zuhanden des Beschuldigten − die Staatsanwaltschaft Winterthur/Unterland und nach unbenütztem Ablauf der Rechtsmittelfrist bzw. Erledigung allfälli- ger Rechtsmittel an − die Vorinstanz − das Strassenverkehrsamt des Kantons Zürich, Abteilung Administrativmassnahmen, Richterliche Fahrverbote, 8090 Zürich − die Koordinationsstelle VOSTRA/DNA mit Formular A.</w:t>
      </w:r>
    </w:p>
    <w:p>
      <w:r>
        <w:rPr>
          <w:b/>
        </w:rPr>
        <w:t>E. 9</w:t>
      </w:r>
    </w:p>
    <w:p>
      <w:r>
        <w:t>Gegen diesen Entscheid kann bundesrechtliche Beschwerde in Straf- sachen erhoben werden.</w:t>
      </w:r>
    </w:p>
    <w:p>
      <w:r>
        <w:t>- 16 -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September 2021 Der Präsident: Der Gerichtsschreiber: lic. iur. R. Naef MLaw L. Zanetti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