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SB200378 vom 22. September 2020</w:t>
      </w:r>
    </w:p>
    <w:p>
      <w:r>
        <w:t>ZH Obergericht, 2020-09-22, DE</w:t>
      </w:r>
    </w:p>
    <w:p>
      <w:r>
        <w:rPr>
          <w:b/>
        </w:rPr>
        <w:t xml:space="preserve">Quelle: </w:t>
      </w:r>
      <w:r>
        <w:t>https://mcp.opencaselaw.ch/entscheid/zh_obergericht_SB200378</w:t>
      </w:r>
    </w:p>
    <w:p>
      <w:r>
        <w:t>FR: ZH_OBERGERICHT SB200378 du 22 septembre 2020</w:t>
      </w:r>
    </w:p>
    <w:p>
      <w:r>
        <w:t>IT: ZH_OBERGERICHT SB200378 del 22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Bezirksgerichtes Zürich, 2. Abteilung - Einzelgericht, vom 12. Juni 2020 wurde die Beschuldigte vom Vorwurf des Betruges zum Nachteil der Privatklägerin A._____ AG freigesprochen und die Privatklägerin A._____ AG mit ihrem Schadenersatzbegehren auf den Weg des Zivilprozesses verwiesen. Der Entscheid wurde am 12. Juni 2020 mündlich eröffnet (Prot. I S. 10 ff. und Urk. 34) und der nicht an der Hauptverhandlung anwesenden Privatklägerin am 17. Juni 2020 im Dispositiv zugestellt (Urk. 35/3). In Ziffer 10 des unbegründeten Urteils findet sich die vollständige Rechtsmittelbelehrung. Darin werden die For- malitäten zur Erhebung der Berufung gemäss den gesetzlichen Vorgaben von Art. 399 StPO korrekt und verständlich aufgeführt (Urk. 34 [Urteilsdispositiv]). Mit Eingabe vom 24. Juni 2020 meldete die Privatklägerin A._____ AG Berufung an (Urk. 37). Am 10. August 2020 wurde ihr sodann das begründete Urteil (Urk. 38 = Urk. 45) zugestellt (Urk. 42/2).</w:t>
      </w:r>
    </w:p>
    <w:p>
      <w:r>
        <w:rPr>
          <w:b/>
        </w:rPr>
        <w:t>E. 2</w:t>
      </w:r>
    </w:p>
    <w:p>
      <w:r>
        <w:t>Aufl. 2014, Art. 399 N 2; vgl. auch BGE 143 IV 40 E. 3.4.1 m.H.).</w:t>
      </w:r>
    </w:p>
    <w:p>
      <w:r>
        <w:rPr>
          <w:b/>
        </w:rPr>
        <w:t>E. 3</w:t>
      </w:r>
    </w:p>
    <w:p>
      <w:r>
        <w:t>Die Privatklägerin A._____ AG meldete zwar rechtzeitig Berufung an, reichte aber in der Folge keine Berufungserklärung ein (Fristende: 31. August 2020). Nachdem bei offensichtlicher Unzulässigkeit des Rechtsmittels praxisgemäss auf die Einholung von Stellungnahmen der Parteien im Sinne von Art. 403 Abs. 2 StPO verzichtet werden kann (vgl. ZR 110/2011 Nr. 69), ist auf die Berufung der</w:t>
      </w:r>
    </w:p>
    <w:p>
      <w:r>
        <w:t>- 3 - Privatklägerin A._____ AG gestützt auf Art. 403 Abs. 1 und Abs. 3 StPO nicht ein- zutreten.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der Privatklägerin A._____ AG kommt einem Unterliegen gleich (Art. 428 Abs. 1 StPO). Der Privatklägerin A._____ AG sind somit die Kosten für das Berufungs- verfahren aufzuerlegen. Die Gerichtsgebühr ist praxisgemäss auf Fr. 600.– fest- zusetzen. Der Beschuldigten ist mangels erheblicher Umtriebe im Berufungsver- fahren keine Umtriebsentschädigung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