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SB200273 vom 2. Dezember 2021</w:t>
      </w:r>
    </w:p>
    <w:p>
      <w:r>
        <w:t>ZH Obergericht, 2021-12-02, DE</w:t>
      </w:r>
    </w:p>
    <w:p>
      <w:r>
        <w:rPr>
          <w:b/>
        </w:rPr>
        <w:t xml:space="preserve">Quelle: </w:t>
      </w:r>
      <w:r>
        <w:t>https://mcp.opencaselaw.ch/entscheid/zh_obergericht_SB200273</w:t>
      </w:r>
    </w:p>
    <w:p>
      <w:r>
        <w:t>FR: ZH_OBERGERICHT SB200273 du 2 décembre 2021</w:t>
      </w:r>
    </w:p>
    <w:p>
      <w:r>
        <w:t>IT: ZH_OBERGERICHT SB200273 del 2 dicembre 2021</w:t>
      </w:r>
    </w:p>
    <w:p>
      <w:pPr>
        <w:pStyle w:val="Heading2"/>
      </w:pPr>
      <w:r>
        <w:t>Erwägungen</w:t>
      </w:r>
    </w:p>
    <w:p>
      <w:r>
        <w:rPr>
          <w:b/>
        </w:rPr>
        <w:t>E. 14</w:t>
      </w:r>
    </w:p>
    <w:p>
      <w:r>
        <w:t>Januar 2019 seitens der Privatkläger auch anerkannt (vgl. dazu Prot. II S. 8).</w:t>
      </w:r>
    </w:p>
    <w:p>
      <w:r>
        <w:t>- 7 - Das Urteil des Obergerichts erging am 16. Januar 2019 und wurde im Dispositiv schriftlich mitgeteilt (Urk. 2/122). 1.4. Mit Urteil des Obergerichtes vom 16. Januar 2019 wurde der Beschuldigte der schweren Körperverletzung im Sinne von Art. 122 Abs. 1 und Abs. 2 StGB in Verbindung mit Art. 16 Abs. 1 StGB schuldig gesprochen und mit einem Frei- heitsentzug von 4 Monaten bestraft, wovon zwei Tage durch Haft erstanden sind. Zudem wurde über die Schadenersatz- und Genugtuungsforderungen der Privat- kläger entschieden (Urk. 2/125 S. 39 f.). 1.5. Gegen das Urteil des Obergerichts erhoben die Privatkläger am 16. bzw.</w:t>
      </w:r>
    </w:p>
    <w:p>
      <w:r>
        <w:rPr>
          <w:b/>
        </w:rPr>
        <w:t>E. 17</w:t>
      </w:r>
    </w:p>
    <w:p>
      <w:r>
        <w:t>Der Privatkläger 1 wird für das zweite Berufungsverfahren mit einer Prozess- entschädigung von Fr. 5'280.35 (inkl. MwSt.) aus der Gerichtskasse ent- schädigt.</w:t>
      </w:r>
    </w:p>
    <w:p>
      <w:r>
        <w:rPr>
          <w:b/>
        </w:rPr>
        <w:t>E. 18</w:t>
      </w:r>
    </w:p>
    <w:p>
      <w:r>
        <w:t>Das Begehren der Privatklägerin 2 um Zusprechung einer Prozessentschä- digung für das erste und zweite Berufungsverfahren wird abgewiesen.</w:t>
      </w:r>
    </w:p>
    <w:p>
      <w:r>
        <w:rPr>
          <w:b/>
        </w:rPr>
        <w:t>E. 19</w:t>
      </w:r>
    </w:p>
    <w:p>
      <w:r>
        <w:t>Schriftliche Mitteilung in vollständiger Ausfertigung an − die amtliche Verteidigung im Doppel für sich und zuhanden des Beschuldigten, − die Oberjugendanwaltschaft des Kantons Zürich, − die Vertretung des Privatklägers 1 im Doppel für sich und den Privatkläger 1, − die Privatklägerin 2, und nach unbenütztem Ablauf der Rechtsmittelfrist bzw. Erledigung allfälli- ger Rechtsmittel an − die Vorinstanz, − die Koordinationsstelle VOSTRA mit Formular A,</w:t>
      </w:r>
    </w:p>
    <w:p>
      <w:r>
        <w:t>- 50 - − die KOST Zürich mit dem Formular "Löschung des DNA-Profils und Vernichtung des ED-Materials" zwecks Bestimmung der Vernichtungs- und Löschungsdaten − Concorida Versicherung (Versichertennummer …).</w:t>
      </w:r>
    </w:p>
    <w:p>
      <w:r>
        <w:rPr>
          <w:b/>
        </w:rPr>
        <w:t>E. 20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Dezember 2021 Der Präsident: Die Gerichtsschreiberin: lic. iur. Ch. Prinz MLaw T. Künzle</w:t>
      </w:r>
    </w:p>
    <w:p>
      <w:r>
        <w:t>- 51 -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