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SB200272 vom 17. Dezember 2020</w:t>
      </w:r>
    </w:p>
    <w:p>
      <w:r>
        <w:t>ZH Obergericht, 2020-12-17, DE</w:t>
      </w:r>
    </w:p>
    <w:p>
      <w:r>
        <w:rPr>
          <w:b/>
        </w:rPr>
        <w:t xml:space="preserve">Quelle: </w:t>
      </w:r>
      <w:r>
        <w:t>https://mcp.opencaselaw.ch/entscheid/zh_obergericht_SB200272</w:t>
      </w:r>
    </w:p>
    <w:p>
      <w:r>
        <w:t>FR: ZH_OBERGERICHT SB200272 du 17 décembre 2020</w:t>
      </w:r>
    </w:p>
    <w:p>
      <w:r>
        <w:t>IT: ZH_OBERGERICHT SB200272 del 17 dicembre 2020</w:t>
      </w:r>
    </w:p>
    <w:p>
      <w:pPr>
        <w:pStyle w:val="Heading2"/>
      </w:pPr>
      <w:r>
        <w:t>Erwägungen</w:t>
      </w:r>
    </w:p>
    <w:p>
      <w:r>
        <w:rPr>
          <w:b/>
        </w:rPr>
        <w:t>E. 1</w:t>
      </w:r>
    </w:p>
    <w:p>
      <w:r>
        <w:t>Mit Urteil des Bezirksgerichtes Zürich, 7. Abteilung, vom 19. November 2019 wurde der Beschuldigte A._____ der einfachen Körperverletzung schuldig gesprochen und mit einer (bedingten) Freiheitsstrafe von 13 Monaten bestraft. Zudem wurde die Probezeit für eine Geldstrafe von 45 Tagessätzen zu Fr. 60.– um ein Jahr verlängert (Urk. 77 S. 65). Mit demselben Urteil wurden auch die Beschuldigten B._____ sowie C._____ je der einfachen Körperverletzung schuldig gesprochen und mit einer Sanktion belegt (a.a.O.).</w:t>
      </w:r>
    </w:p>
    <w:p>
      <w:r>
        <w:rPr>
          <w:b/>
        </w:rPr>
        <w:t>E. 2</w:t>
      </w:r>
    </w:p>
    <w:p>
      <w:r>
        <w:t>Gegen dieses Urteil meldeten die Staatsanwaltschaft (betreffend alle drei Beschuldigten), der Beschuldigte B._____ sowie der Beschuldigte A._____ am 21., 26. bzw. 29. November 2019 – je fristgerecht – Berufung an (Urk. 67; Urk. 68; Urk. 69). Die Staatsanwaltschaft zog ihre Berufung indes mit Zuschrift vom 2. Juni 2020 hinsichtlich aller drei Beschuldigten zurück (Urk. 76 = Urk. 78).</w:t>
      </w:r>
    </w:p>
    <w:p>
      <w:r>
        <w:rPr>
          <w:b/>
        </w:rPr>
        <w:t>E. 3</w:t>
      </w:r>
    </w:p>
    <w:p>
      <w:r>
        <w:t>Nachdem die Berufungserklärung des Beschuldigten A._____ vom 15. Juni 2020 fristgerecht hierorts eingegangen war (Urk. 82), wurde mit Präsi- dialverfügung vom 18. Juni 2020 den übrigen Parteien Frist angesetzt, um Anschlussberufung zu erheben oder ein Nichteintreten zu beantragen (Urk. 84).</w:t>
      </w:r>
    </w:p>
    <w:p>
      <w:r>
        <w:rPr>
          <w:b/>
        </w:rPr>
        <w:t>E. 3.7</w:t>
      </w:r>
    </w:p>
    <w:p>
      <w:r>
        <w:t>Monaten – an der Arbeitsleistung verhindert. Allfällig dadurch entstandene Lohneinbussen wurden durch das vorliegende Strafverfahren verursacht und sind dem Beschuldigten A._____ zu ersetzen, da gemäss Art. 429 Abs. 1 lit. b StPO wirtschaftliche Einbussen, die aus der Beteiligung am Strafverfahren entstanden sind, zu entschädigen sind. Zum Zeitpunkt seiner Verhaftung arbeitete der Beschuldigte A._____ für die F._____ GmbH. Gemäss seinen Angaben in der Untersuchung verdiente er bei dieser Tätigkeit monatlich ca. Fr. 3'800.– netto (Urk. 2/1 S. 4). Bei den Akten befinden sich ein Arbeitsvertrag mit der G._____ GmbH vom 30. Oktober 2017 sowie ein Arbeitsvertrag mit der F._____ GmbH vom 27. Dezember 2017 und zwei Lohnabrechnungen der F._____ GmbH für Juli 2018 und April 2019 (Urk. 52/3). Weitere Unterlagen zu seiner Arbeitstätigkeit wurden nicht eingereicht (vgl. Urk. 102 S. 4). Gemäss den Arbeitsverträgen beträgt der jährliche Bruttolohn Fr. 52'800.–, wobei dieser in 12 Monatssalären von Fr. 4'400.– ausbezahlt wird (Urk. 52/3). Aufgrund der Angaben des Beschuldigten sowie der eingereichten Lohnabrechnungen ist von einem Netto-Monatslohn von Fr. 3'550.– auszugehen. Demzufolge ist dem Beschuldigten eine Entschädigung für wirtschaftliche Einbussen von Fr. 13'135.– zuzusprechen. Mangels eines entsprechenden Antrags ist kein Zins zuzusprechen (vgl. Urteil des Bundesgerichtes 6B_632/2017 vom 22. Februar 2018, E. 2.3 und 2.4).</w:t>
      </w:r>
    </w:p>
    <w:p>
      <w:r>
        <w:t>- 7 - 7. Sodann beantragt der Beschuldigte A._____ eine Genugtuung für die erlittene Untersuchungshaft von Fr. 33'300.– (Urk. 102 S. 2). Zu deren Begründung macht er geltend, diese habe sich bereits ex ante nicht mehr rechtfertigen lassen, da spätestens mit den am 16. März 2018 durchgeführten Befragungen die Kollusionsgefahr entfallen sei. Es rechtfertige sich daher, die Höhe der Genugtuung an der oberen Grenze bei Fr. 300.– pro Tag anzusetzen. Umso mehr rechtfertige sich dieser Ansatz, wenn man sich die gravierende Verletzung des Beschleunigungsgebotes vor Augen halte. Schliesslich sei vorliegend auch der Einfluss der Haft auf das soziale Umfeld gross gewesen (a.a.O. S. 4 f.). Wie bereits ausgeführt, befand sich der Beschuldigte A._____ während 111 Tagen in Haft. Es liegt ein Fall von zwar rechtmässig angeordneter, aber – entsprechend dem Ausgang des Verfahrens (Einstellung zufolge Rückzuges des Strafantrags) – unschuldig erlittener Haft vor, die grundsätzlich einen Anspruch auf Genugtuung gemäss Art. 429 Abs. 1 lit. c StPO bewirkt. Wird die beschuldigte Person ganz oder teilweise freigesprochen, so hat sie gemäss Art. 429 Abs. 1 lit. c StPO bei besonders schweren Verletzungen in ihren per- sönlichen Verhältnissen, insbesondere bei Freiheitsentzug, nämlich Anspruch auf eine Genugtuung. Eine Verweigerung der Genugtuung gestützt auf Art. 430 Abs. 1 lit. a StPO kommt aufgrund der strengen diesbezüglichen Rechtsprechung des Bundesgerichtes nicht in Frage (vgl. Urteil des Bundesgerichtes 6B_1172/2016 vom 29. August 2017 E. 1.3, kürzlich bestätigt in: Urteil des Bundesgerichtes 6B_660/220 vom 9. September 2020 E. 1.3). Das Bundesgericht hielt im soeben ergangenen Entscheid 6B_744/2020 vom 26. Oktober 2020 zur Höhe einer Genugtuungssumme bei Untersuchungshaft das Folgende fest (E. 5.2): "Die Festlegung der Genugtuungssumme nach Art. 429 ff. StPO beruht auf richterlichem Ermessen, in welches das Bundesgericht nur mit Zurückhaltung eingreift (BGE 143 IV 339 E. 3.1 S. 342 f.; Urteile 6B_984/2018 vom 4. April 2019 E. 5.1; 6B_1342/2016 vom 12. Juli 2017 E. 4.2; 6B_196/2014 vom 5. Juni 2014 E. 1.2). Das Bundesrecht setzt keinen bestimmten Mindestbetrag fest (Art. 431</w:t>
      </w:r>
    </w:p>
    <w:p>
      <w:r>
        <w:t>- 8 - Abs. 2 StPO). Bei der Ausübung des Ermessens kommt den Besonderheiten des Einzelfalles entscheidendes Gewicht zu. Nach der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bei kürzeren Freiheitsentzügen Fr. 200.–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 (BGE 143 IV 339 E. 3.1 S. 342; 113 Ib 155 E. 3b S. 156; Urteile 6B_984/2018 vom 4. April 2019 E. 5.1; 6B_196/2014 vom 5. Juni 2014 E. 1.2; 6B_111/2012 vom 15. Mai 2012 E. 4.2)." Vorliegend war der Beschuldigte fast vier Monate in Haft. Von einem kürzeren Freiheitsentzug im Sinne der dargelegten höchstrichterlichen Rechtsprechung kann daher nicht mehr gesprochen werden. Es liegt aber auch noch keine aussergewöhnlich lange Haftdauer vor. Weder die Verhaftung (vgl. Urk. 1/1 S. 4 f.; Urk. 16/1) noch das darauf folgende, etwas mehr als ein Jahr dauernde Untersuchungsverfahren waren mit besonderer Publizität verbunden. Bezichtigt wurde der Beschuldigte A._____ anfänglich des Angriffs bzw. der Tätlichkeiten (vgl. Urk. 1/1, Urk. 2/1 und Urk. 2/5). Dieser Vorwurf war weder besonders schwer noch besonders leicht. Soweit ist daher weder eine Erhöhung noch eine Senkung der Genugtuung angezeigt. Der Beschuldigte A._____ ist Vater zweier Kinder, die bei ihrer Mutter in H._____ [Staat in Europa] wohnen (Prot. I S. 15). Ansonsten ist er nicht verheiratet und lebte zur Zeit der Hauptverhandlung alleine (a.a.O. S. 16). Aus einem familiären Netz wurde er durch die Verhaftung und die anschliessende Haft somit nicht gerissen. Schliesslich ergibt sich aus den Akten auch kein weiteres soziales Umfeld, welches der Beschuldigte durch die Haft verloren hätte. Vielmehr lässt sich den Akten entnehmen – was auch von der Verteidigung angeführt wird –, dass er auch in der Haft Besuche erhielt (es wurden 13 Besuchsbewilligungen</w:t>
      </w:r>
    </w:p>
    <w:p>
      <w:r>
        <w:t>- 9 - ausgestellt: Urk. 16/10-12; Urk. 16/14-16; Urk. 16/18; Urk. 16/20-21; Urk. 16/26; Urk. 16/28 und Urk. 16/31-32) und die Kontakte eben gerade nicht abbrachen – trotz der Haft. Dieser Umstand wirkt somit nicht genugtuungserhöhend. Ebenso wenig verlor der Beschuldigte A._____ aufgrund der Haft seine Arbeitsstelle. Vielmehr konnte er offenbar bereits im Juli 2018 (nachdem er am 18. Mai 2018 aus der Haft entlassen wurde) wieder arbeiten – beim selben Arbeitgeber, der F._____ GmbH (Urk. 52/3). Eine Verletzung des Beschleunigungsgebots ist sodann nicht auszumachen. Man muss sich diesbezüglich vor Augen führen, dass es sich um ein Strafverfahren mit drei Beschuldigten handelte, weshalb diverse Konfrontationseinvernahmen durchgeführt werden mussten (vgl. Urk. 2/7-8). Angesichts dieser Konstellation erscheint die Haft von 3 ⅔ Monaten nicht übermässig. Die Verletzung in den persönlichen Verhältnissen des Beschuldigten A._____ bewegt sich somit etwa auf der Höhe einer Durchschnittsperson. Aufgrund der gesamten Umstände rechtfertigt es sich deswegen, die Genugtuung auf Fr. 200.– pro Hafttag festzulegen. Es ist somit eine Genugtuung von Fr. 22'200.– zuzusprechen. Mangels eines entsprechenden Antrags ist auch für die Genugtuung kein Zins zuzusprechen (vgl. Urteil des Bundesgerichtes 6B_632/2017 vom 22. Februar 2018, E. 2.3 und 2.4). Es wird beschlossen:</w:t>
      </w:r>
    </w:p>
    <w:p>
      <w:r>
        <w:rPr>
          <w:b/>
        </w:rPr>
        <w:t>E. 4</w:t>
      </w:r>
    </w:p>
    <w:p>
      <w:r>
        <w:t>Mit Beschluss vom 15. Juli 2020 wurde auf die Berufung des Beschuldigten B._____ mangels Berufungserklärung nicht eingetreten. Zudem wurde vom Rückzug der Berufung der Staatsanwaltschaft Vormerk genommen (Urk. 92).</w:t>
      </w:r>
    </w:p>
    <w:p>
      <w:r>
        <w:rPr>
          <w:b/>
        </w:rPr>
        <w:t>E. 5</w:t>
      </w:r>
    </w:p>
    <w:p>
      <w:r>
        <w:t>Die unentgeltliche Vertreterin des Privatklägers D._____ reichte mit Eingabe vom 19. November 2020 eine Kostennote über Aufwendungen von 6 Stunden und</w:t>
      </w:r>
    </w:p>
    <w:p>
      <w:r>
        <w:rPr>
          <w:b/>
        </w:rPr>
        <w:t>E. 10</w:t>
      </w:r>
    </w:p>
    <w:p>
      <w:r>
        <w:t>Minuten sowie Auslagen von Fr. 63.60 ein (Urk. 101). Ihre geltend gemachten Bemühungen und Auslagen sind ausgewiesen. Insbesondere sind auch bereits 20 Minuten für die Abschlussarbeiten berücksichtigt. Demgemäss ist Rechtsanwältin lic. iur. Y._____ mit Fr. 1'529.70 (inkl. MwSt.) zu entschädigen. 6. Der Beschuldigte A._____ beantragt eine Entschädigung für den während der Dauer der Untersuchungshaft vom 28. Januar 2018 bis 18. Mai 2018</w:t>
      </w:r>
    </w:p>
    <w:p>
      <w:r>
        <w:t>- 6 - entstandenen Erwerbsausfall von Fr. 17'500.– (Urk. 102 S. 2). Zur Begründung führt er an, er sei im entsprechenden Zeitraum als Sicherheitsmitarbeiter der E._____-Bar angestellt gewesen und er habe dort einen durchschnittlichen Monatslohn von Fr. 4'400.– erzielt, welcher ihm auf Grundlage der tatsächlich geleisteten Arbeitsstunden ausbezahlt worden sei (brutto), weshalb sich eine wirtschaftliche Einbusse von insgesamt Fr. 17'500.– ergebe (a.a.O. S. 3 f.). Der Beschuldigte A._____ wurde am Sonntag, 28. Januar 2018, 7.15 Uhr, verhaftet und anschliessend in Untersuchungshaft versetzt (Urk. 16/1; Urk. 16/8). Am 18. Mai 2018, 14.30 Uhr, wurde er aus der Haft entlassen (Urk. 16/33). Damit war der Beschuldigte infolge der Haft während 111 Tagen – also 3 ⅔ bzw.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