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SB200261 vom 15. Juni 2020</w:t>
      </w:r>
    </w:p>
    <w:p>
      <w:r>
        <w:t>ZH Obergericht, 2020-06-15, DE</w:t>
      </w:r>
    </w:p>
    <w:p>
      <w:r>
        <w:rPr>
          <w:b/>
        </w:rPr>
        <w:t xml:space="preserve">Quelle: </w:t>
      </w:r>
      <w:r>
        <w:t>https://mcp.opencaselaw.ch/entscheid/zh_obergericht_SB200261</w:t>
      </w:r>
    </w:p>
    <w:p>
      <w:r>
        <w:t>FR: ZH_OBERGERICHT SB200261 du 15 juin 2020</w:t>
      </w:r>
    </w:p>
    <w:p>
      <w:r>
        <w:t>IT: ZH_OBERGERICHT SB200261 del 15 giugno 2020</w:t>
      </w:r>
    </w:p>
    <w:p>
      <w:pPr>
        <w:pStyle w:val="Heading2"/>
      </w:pPr>
      <w:r>
        <w:t>Erwägungen</w:t>
      </w:r>
    </w:p>
    <w:p>
      <w:r>
        <w:rPr>
          <w:b/>
        </w:rPr>
        <w:t>E. 1</w:t>
      </w:r>
    </w:p>
    <w:p>
      <w:r>
        <w:t>Gegen das Urteil des Jugendgerichtes Dietikon vom 26. Februar 2020 haben die Privatkläger A._____ und B._____ zwar Berufung anmelden lassen (Urk. 63), innert der Frist von Art. 399 Abs. 3 StPO aber keine Berufungserklärung eingereicht. Deshalb ist auf ihre Berufung gestützt auf Art. 403 Abs. 1 und Abs. 3 StPO nicht einzutreten.</w:t>
      </w:r>
    </w:p>
    <w:p>
      <w:r>
        <w:rPr>
          <w:b/>
        </w:rPr>
        <w:t>E. 2</w:t>
      </w:r>
    </w:p>
    <w:p>
      <w:r>
        <w:t>Im Rechtsmittelverfahren tragen die Parteien die Kosten nach Massgabe ihres Obsiegens oder Unterliegens. Das Nichteintreten auf das Rechtsmittel der Privatkläger kommt einem Unterliegen gleich (Art. 428 Abs. 1 StPO). Ihnen sind daher die Kosten des Berufungsverfahrens je zur Hälfte aufzuerlegen. Die Ge- richtsgebühr ist praxisgemäss auf Fr. 600.– festzusetzen.</w:t>
      </w:r>
    </w:p>
    <w:p>
      <w:r>
        <w:rPr>
          <w:b/>
        </w:rPr>
        <w:t>E. 3</w:t>
      </w:r>
    </w:p>
    <w:p>
      <w:r>
        <w:t>Die Kosten des Berufungsverfahrens, mit Ausnahme der Kosten der amtlichen Verteidigung, werden den Privatklägern je zur Hälfte auferlegt. Die Kosten der amtlichen Verteidigung werden einstweilen auf die Gerichtskasse genommen. Die Rückzahlungspflicht bleibt gemäss Art. 138 Abs. 1 StPO i.V.m. Art. 135 Abs. 4 StPO vorbehalten.</w:t>
      </w:r>
    </w:p>
    <w:p>
      <w:r>
        <w:t>- 4 -</w:t>
      </w:r>
    </w:p>
    <w:p>
      <w:r>
        <w:rPr>
          <w:b/>
        </w:rPr>
        <w:t>E. 4</w:t>
      </w:r>
    </w:p>
    <w:p>
      <w:r>
        <w:t>Schriftliche Mitteilung an − die amtliche Verteidigung im Doppel für sich und zuhanden des Beschuldigten − die gesetzliche Vertretung des Beschuldigten bzw. die Inhaberin der elterlichen Sorge D._____ − die Oberjugendanwaltschaft des Kantons Zürich − die Vertretung der Privatkläger A._____ und B._____ dreifach für sich und zuhanden der beiden Privatkläger sowie nach unbenütztem Ablauf der Rechtsmittelfrist resp. Erledigung allfälliger Rechtsmittel an − die Vorinstanz − das Bundesamt für Polizei fedpol, Bundeskriminalpolizei.</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15. Juni 2020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