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SB200258 vom 18. Juni 2021</w:t>
      </w:r>
    </w:p>
    <w:p>
      <w:r>
        <w:t>ZH Obergericht, 2021-06-18, DE</w:t>
      </w:r>
    </w:p>
    <w:p>
      <w:r>
        <w:rPr>
          <w:b/>
        </w:rPr>
        <w:t xml:space="preserve">Quelle: </w:t>
      </w:r>
      <w:r>
        <w:t>https://mcp.opencaselaw.ch/entscheid/zh_obergericht_SB200258</w:t>
      </w:r>
    </w:p>
    <w:p>
      <w:r>
        <w:t>FR: ZH_OBERGERICHT SB200258 du 18 juin 2021</w:t>
      </w:r>
    </w:p>
    <w:p>
      <w:r>
        <w:t>IT: ZH_OBERGERICHT SB200258 del 18 giugno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 See/Oberland, Anklägerin</w:t>
      </w:r>
    </w:p>
    <w:p>
      <w:r>
        <w:rPr>
          <w:b/>
        </w:rPr>
        <w:t>E. 2</w:t>
      </w:r>
    </w:p>
    <w:p>
      <w:r>
        <w:t>Staatsanwaltschaft I des Kantons Zürich, vertreten durch Staatsanwalt lic. iur. Kaegi, Anklägerin und Erstberufungsklägerin sowie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