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SB200204 vom 9. Juni 2020</w:t>
      </w:r>
    </w:p>
    <w:p>
      <w:r>
        <w:t>ZH Obergericht, 2020-06-09, DE</w:t>
      </w:r>
    </w:p>
    <w:p>
      <w:r>
        <w:rPr>
          <w:b/>
        </w:rPr>
        <w:t xml:space="preserve">Quelle: </w:t>
      </w:r>
      <w:r>
        <w:t>https://mcp.opencaselaw.ch/entscheid/zh_obergericht_SB200204</w:t>
      </w:r>
    </w:p>
    <w:p>
      <w:r>
        <w:t>FR: ZH_OBERGERICHT SB200204 du 9 juin 2020</w:t>
      </w:r>
    </w:p>
    <w:p>
      <w:r>
        <w:t>IT: ZH_OBERGERICHT SB200204 del 9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Bezirksgerichtes Zürich, 10. Abteilung - Einzelgericht, vom 15. Januar 2020 hat der Beschuldigte zwar Berufung anmelden lassen, in- nert der Frist von Art. 399 Abs. 3 StPO aber keine Berufungserklärung einge- reicht. Deshalb ist auf die Berufung gestützt auf Art. 403 Abs. 1 und Abs. 3 StPO nicht einzutreten.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das Rechtsmittel des Beschuldigten kommt einem Unterliegen gleich (Art. 428 Abs. 1 StPO). Dem Be- schuldigten sind somit die Kosten für das Berufungsverfahren aufzuerlegen. Die Gerichtsgebühr ist praxisgemäss auf Fr. 600.– festzusetzen.</w:t>
      </w:r>
    </w:p>
    <w:p>
      <w:r>
        <w:rPr>
          <w:b/>
        </w:rPr>
        <w:t>E. 3</w:t>
      </w:r>
    </w:p>
    <w:p>
      <w:r>
        <w:t>Der amtlichen Verteidigerin ist für das Berufungsverfahren keine Entschädi- gung zuzusprechen. Dem unentgeltlichen Geschädigtenvertreter sind im Berufungsverfahren Auf- wendung von 1.16 Stunden sowie Auslagen von Fr. 4.10 angefallen (Urk. 66). Diese sind ausgewiesen und erscheinen angemessen. Somit ist der unentgelt- liche Geschädigtenvertreter mit Fr. 278.95 (inkl. MwSt. und Barauslagen) aus der Gerichtskasse zu entschädigen. Diese Kosten sind einstweilen auf die Gerichts- kasse zu nehmen, wobei die Rückzahlungspflicht des Beschuldigten vorbehalten bleibt (Art. 426 Abs. 1 und 4 StPO, Art. 138 Abs. 1 StPO und Art. 135 Abs. 4 StPO).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