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SB200194 vom 13. Oktober 2020</w:t>
      </w:r>
    </w:p>
    <w:p>
      <w:r>
        <w:t>ZH Obergericht, 2020-10-13, DE</w:t>
      </w:r>
    </w:p>
    <w:p>
      <w:r>
        <w:rPr>
          <w:b/>
        </w:rPr>
        <w:t xml:space="preserve">Quelle: </w:t>
      </w:r>
      <w:r>
        <w:t>https://mcp.opencaselaw.ch/entscheid/zh_obergericht_SB200194</w:t>
      </w:r>
    </w:p>
    <w:p>
      <w:r>
        <w:t>FR: ZH_OBERGERICHT SB200194 du 13 octobre 2020</w:t>
      </w:r>
    </w:p>
    <w:p>
      <w:r>
        <w:t>IT: ZH_OBERGERICHT SB200194 del 13 ottobre 2020</w:t>
      </w:r>
    </w:p>
    <w:p>
      <w:pPr>
        <w:pStyle w:val="Heading2"/>
      </w:pPr>
      <w:r>
        <w:t>Erwägungen</w:t>
      </w:r>
    </w:p>
    <w:p>
      <w:r>
        <w:rPr>
          <w:b/>
        </w:rPr>
        <w:t>E. 1</w:t>
      </w:r>
    </w:p>
    <w:p>
      <w:r>
        <w:t>Prozessgeschichte</w:t>
      </w:r>
    </w:p>
    <w:p>
      <w:r>
        <w:rPr>
          <w:b/>
        </w:rPr>
        <w:t>E. 1.1</w:t>
      </w:r>
    </w:p>
    <w:p>
      <w:r>
        <w:t>Der Beschuldigte lässt den Aufschub des Vollzugs der Geldstrafe be- antragen, da er in seiner Heimat an Leib und Leben gefährdet sei (Urk. 48 S. 9). Bereits vor Vorinstanz stellte er den entsprechend Antrag mit Hinweis auf die Umstände, den Bezug von Nothilfe und die offensichtliche Uneinbringlichkeit einer Geldstrafe (Urk. 25 S. 11).</w:t>
      </w:r>
    </w:p>
    <w:p>
      <w:r>
        <w:rPr>
          <w:b/>
        </w:rPr>
        <w:t>E. 1.2</w:t>
      </w:r>
    </w:p>
    <w:p>
      <w:r>
        <w:t>Die Vorinstanz ordnete in Anbetracht der Tatsache, dass der Beschuldigte die vorliegend zu beurteilende Tat während laufender Probezeiten der beiden einschlägigen Vorstrafen beging, den Vollzug der Geldstrafe an (Urk. 37 S. 21). 2. Würdigung Den Ausführungen der Vorinstanz kann ohne Einschränkungen zugestimmt werden (Urk. 37 S. 20 f.). Der Beschuldigte beging die vorliegende Tat in den Probezeiten des Strafbefehls der Staatsanwaltschaft Zürich-Sihl vom 22. Dezember 2016 und des Urteils des Bezirksgerichts Uster vom 28. März 2017 (siehe Beizugsakten STA Zürich-Sihl 2016/10040864, Urk. 30/6 und Beizugsakten GG160033, Urk. 31/28). Es ist geradezu offensichtlich, dass sich der Beschuldigte – wie dies auch die Vorinstanz feststellte – von den beiden Vorstrafen nicht beeindrucken liess. Die Anordnung des Vollzugs der Geldstrafe ist demnach zu bestätigen. VI. Kosten- und Entschädigungsfolgen 1. Vorinstanzliches Verfahren Bei diesem Verfahrensausgang hat es bei der vorinstanzlichen Kostenverteilung sein Bewenden. Dispositivziffer 7 des vorinstanzlichen Urteils ist entsprechend zu bestätigen (Urk. 37 S. 24).</w:t>
      </w:r>
    </w:p>
    <w:p>
      <w:r>
        <w:t>- 16 - 2. Berufungsverfahren</w:t>
      </w:r>
    </w:p>
    <w:p>
      <w:r>
        <w:rPr>
          <w:b/>
        </w:rPr>
        <w:t>E. 1.3</w:t>
      </w:r>
    </w:p>
    <w:p>
      <w:r>
        <w:t>Uneinigkeit besteht damit vorliegend im Wesentlichen darüber, ob die Rückführungsrichtlinie die Bestrafung des Beschuldigten wegen rechtswidrigem Aufenthalt verbietet bzw. im Einzelnen darüber, ob das administrative Rück- führungsverfahren (vollständig) abgeschlossen und die Ausfällung einer Geld- strafe mit der Rückführungsrichtlinie vereinbar ist. 2. Rechtliches</w:t>
      </w:r>
    </w:p>
    <w:p>
      <w:r>
        <w:rPr>
          <w:b/>
        </w:rPr>
        <w:t>E. 2</w:t>
      </w:r>
    </w:p>
    <w:p>
      <w:r>
        <w:t>Umfang der Berufung Der Beschuldigte lässt Ziffer 1 (Verurteilung wegen rechtswidrigen Aufenthalts), Ziffer 2 (Bestrafung mit einer Geldstrafe von 60 Tagessätzen) und Ziffer 3 (Voll- zug der Geldstrafe) des vorinstanzlichen Dispositivs anfechten (Urk. 38 S. 2). Mitangefochten gilt für den Fall des Freispruchs auch die Kostenauflage gemäss Ziffer 7 des vorinstanzlichen Dispositivs. Das vorinstanzliche Urteil steht entspre- chend in diesem Umfang unter Berücksichtigung des Verschlechterungsverbotes zur Disposition. Ausdrücklich nicht angefochten sind hingegen die Ziffern 4 und 5 (Verzicht auf Widerruf der Geldstrafen gemäss dem Strafbefehl der Staatsan- waltschaft Zürich-Sihl vom 22. Dezember 2016 und dem Urteil des Bezirksgericht Uster vom 28. März 2017), Ziffer 6 (Kostenfestsetzung) sowie die Ziffern 7 (bei Schuldspruch die definitive Abschreibung der dem Beschuldigten auferlegten Kosten) und Ziffer 8 (Entschädigung der amtlichen Verteidigung). Von der Rechtskraft dieser Anordnungen ist vorab mit Beschluss Vormerk zu nehmen.</w:t>
      </w:r>
    </w:p>
    <w:p>
      <w:r>
        <w:rPr>
          <w:b/>
        </w:rPr>
        <w:t>E. 2.1</w:t>
      </w:r>
    </w:p>
    <w:p>
      <w:r>
        <w:t>Die Gerichtsgebühr für das zweitinstanzliche Verfahren ist praxisgemäss auf Fr. 1'500.– festzusetzen.</w:t>
      </w:r>
    </w:p>
    <w:p>
      <w:r>
        <w:rPr>
          <w:b/>
        </w:rPr>
        <w:t>E. 2.2</w:t>
      </w:r>
    </w:p>
    <w:p>
      <w:r>
        <w:t>Der Beschuldigte unterliegt im Berufungsverfahren vollumfänglich. Die Kosten des Berufungsverfahrens, mit Ausnahme der Kosten der amtlichen Verteidigung, sind somit dem Beschuldigten aufzuerlegen. Die Kosten der amt- lichen Verteidigung sind einstweilen auf die Gerichtskasse zu nehmen, unter Vor- behalt der Rückzahlungspflicht gemäss Art. 135 Abs. 4 StPO.</w:t>
      </w:r>
    </w:p>
    <w:p>
      <w:r>
        <w:rPr>
          <w:b/>
        </w:rPr>
        <w:t>E. 2.3</w:t>
      </w:r>
    </w:p>
    <w:p>
      <w:r>
        <w:t>Der amtliche Verteidiger, Rechtsanwalt lic. iur. X._____, ist für seine Auf- wände im zweitinstanzlichen Verfahren antragsgemäss mit Fr. 1'913.80 (inkl. MWST und Auslagen) aus der Gerichtskasse zu entschädigen (Urk. 58). Es wird beschlossen:</w:t>
      </w:r>
    </w:p>
    <w:p>
      <w:r>
        <w:rPr>
          <w:b/>
        </w:rPr>
        <w:t>E. 3</w:t>
      </w:r>
    </w:p>
    <w:p>
      <w:r>
        <w:t>Würdigung</w:t>
      </w:r>
    </w:p>
    <w:p>
      <w:r>
        <w:rPr>
          <w:b/>
        </w:rPr>
        <w:t>E. 3.1</w:t>
      </w:r>
    </w:p>
    <w:p>
      <w:r>
        <w:t>Vorab ist auf die Erwägung der Vorinstanz einzugehen, wonach die Ausfällung einer Geldstrafe (von im konkreten Fall 60 Tagessätzen) der Rückfüh- rungsrichtlinie nicht entgegenstehe. Erweist sich diese Erwägung als zutreffend, kann die Frage nach dem Stand des administrativen Rückführungsverfahren offen bleiben.</w:t>
      </w:r>
    </w:p>
    <w:p>
      <w:r>
        <w:rPr>
          <w:b/>
        </w:rPr>
        <w:t>E. 3.2</w:t>
      </w:r>
    </w:p>
    <w:p>
      <w:r>
        <w:t>Das Bundesgericht hat in seinem Urteil 6B_515/2018 vom 24. April 2019 unter Verweis auf den (Leit-)Entscheid 143 IV 249 festgehalten, dass die Verhän- gung einer Geldstrafe mit der Rückführungsrichtlinie vereinbar sei, vorausgesetzt, sie erschwere das Verfahren der Entfernung nicht. Eine solche Sanktion könne unabhängig von den für die Umsetzung der Wegweisung erforderlichen Mass- nahmen ausgesprochen werden. Das Bundesgericht hielt im zitierten Entscheid</w:t>
      </w:r>
    </w:p>
    <w:p>
      <w:r>
        <w:t>- 9 - weiter fest, dass angesichts der vom Beschuldigten dargelegten Verweigerung der Mitwirkung bei der Beschaffung der Ausweispapiere und der stark beschränk- ten Dauer der Ersatzfreiheitsstrafe von 33.3 Tagen (zwei Drittel der ausgefällten Geldstrafe von 50 Tagessätzen) nicht ersichtlich sei, inwiefern der Vollzug der Ersatzfreiheitstrafe die Rückführung des Beschuldigten hätte massgebend erschweren können. Die Staatsanwaltschaft habe somit im Hinblick auf die aus- gesprochene Geldstrafe davon absehen können, den Stand des Rückführungs- verfahrens abschliessend abzuklären und zu den Akten zu nehmen (Urteil des Bundesgerichts 6B_517/2018 vom 24. April 2019 E. 1.4.3 f.). Dieser aktuelle Entscheid erfolgte in Bestätigung der bereits vor und von der Vorinstanz zitierten bundesgerichtlichen Rechtsprechung, insbesondere dem Leitentscheid BGE 143 IV 249 (angerufen sowohl von der Vorinstanz, Urk. 37 S. 12 ff., als auch von der Verteidigung, Urk. 48 S. 5).</w:t>
      </w:r>
    </w:p>
    <w:p>
      <w:r>
        <w:rPr>
          <w:b/>
        </w:rPr>
        <w:t>E. 3.3</w:t>
      </w:r>
    </w:p>
    <w:p>
      <w:r>
        <w:t>Die Verteidigung bringt hiergegen vor, dass das Bundesgericht im besag- ten Leitentscheid 143 IV 249 das Urteil des EuGH i.S. B._____ (Rs. C-430/11 "B._____") vom 6. Dezember 2012 falsch auslegt und damit der Rechtsprechung des EuGH vorgegriffen habe. Der EuGH habe sich i.S. B._____ zur Frage der Vereinbarkeit der Rückführungsrichtlinie mit der italienischen Vorschrift befasst, dass ein Strafrichter eine Geldstrafe mit einer Ausweisungsstrafe mit sofortiger vollstreckbarer Rückkehrverpflichtung ersetze, was mit der im schweizerischen Recht vorgesehene Ersatzfreiheitsstrafe nicht vergleichbar sei. Die Vereinbarkeit derselben mit der Rückführungsrichtlinie habe der EuGH nicht beurteilt. Nachdem allerdings gemäss Rechtsprechung des EuGH bereits ein Hausarrest nur ganz ausnahmsweise mit der Rückführung vereinbar sei (nämlich sofern angeordnet werde, dass dieser zu beenden ist, sobald die Rückschaffung des Betroffenen aus dem Mitgliedstaat möglich ist), sei sinngemäss davon auszugehen, dass die Verhängung einer Geldstrafe, welche in eine Ersatzfreiheitsstrafe umgewandelt werden könne, der Rückführungsrichtlinie entgegenstehe und entsprechend nicht angeordnet werden könne, bevor das administrative Rückführungsverfahren abgeschlossen sei (Urk. 48 S. 5 ff.).</w:t>
      </w:r>
    </w:p>
    <w:p>
      <w:r>
        <w:t>- 10 -</w:t>
      </w:r>
    </w:p>
    <w:p>
      <w:r>
        <w:rPr>
          <w:b/>
        </w:rPr>
        <w:t>E. 3.4</w:t>
      </w:r>
    </w:p>
    <w:p>
      <w:r>
        <w:t>Im seitens der Verteidigung angerufenen Entscheid des EuGH i.S. B._____ befasste sich der Gerichtshof mit einer italienischen Regelung, welche die Bestra- fung des illegalen Aufenthalts mit einer Geldstrafe vorsieht, die unter bestimmten Voraussetzungen durch Ausweisung oder Hausarrest ersetzt werden kann. Der Gerichtshof kam zusammengefasst zu folgendem Ergebnis (Zusammen- fassung des EuGH, abrufbar z.B. unter https://curia.europa.eu/jcms/upload/docs/ application/pdf/2012-12/cp120160de.pdf; zuletzt am 12. Oktober 2020): "Der Gerichtshof bestätigt zunächst die Rechtsprechung, wonach die Rückkehr- richtlinie verletzt würde, wenn der betreffende Mitgliedstaat, nachdem er den illegalen Aufenthalt eines Drittstaatsangehörigen festgestellt hat, vor der Voll- streckung der Rückkehrentscheidung oder gar vor deren Erlass ein Strafverfahren durchführte, das zu einer Freiheitsstrafe während des Rückkehrverfahrens führen könnte, da dies die Abschiebung zu verzögern droht. Der Gerichtshof stellt sodann fest, dass die Rückführungsmaßnahmen durch ein Strafverfahren, wie es gegen Herrn B._____ eingeleitet wurde, nicht verzögert oder behindert werden, da die fragliche nationale Regelung es erlaubt, die Rückkehr unabhängig von die- sem Strafverfahren und 1 Richtlinie 2008/115/EG des Europäischen Parlaments und des Rates vom 16. Dezember 2008 über gemeinsame Normen und Verfah- ren in den Mitgliedstaaten zur Rückführung illegal aufhältiger Drittstaatsangehöri- ger ohne dass dieses abgeschlossen worden sein müsste zu verwirklichen. Auch die Auferlegung einer Geldstrafe ist nicht geeignet, die Durchführung des Rück- kehrverfahrens zu behindern. Außerdem verstößt auch die dem Strafrichter gebo- tene Möglichkeit, die Geldstrafe durch eine mit einem Einreiseverbot in das italie- nische Hoheitsgebiet von mindestens fünf Jahren verbundene Ausweisung zu er- setzen, nicht gegen die Richtlinie, sofern es möglich ist, sofort die Rückkehr des Betroffenen zu bewirken. Die Richtlinie erlaubt es den Mitgliedstaaten nämlich, auf der Grundlage einer individuellen Prüfung der Situation des Betroffenen die Ausweisung zu verfügen, ohne eine Frist für die freiwillige Ausreise zu gewähren, wenn die Gefahr besteht, dass der Betroffene flieht, um sich dem Rückkehrver- fahren zu entziehen. Der Gerichtshof weist schließlich darauf hin, dass die Mit- gliedstaaten aufgrund ihrer Pflicht zur loyalen Zusammenarbeit und aus den Er- fordernissen der Wirksamkeit der Richtlinie die Abschiebung innerhalb kürzester</w:t>
      </w:r>
    </w:p>
    <w:p>
      <w:r>
        <w:t>- 11 - Frist vorzunehmen haben. Für den Fall aber, dass eine Geldstrafe durch Hausar- rest ersetzt wird, stellt der Gerichtshof fest, dass ein während des Rückkehrver- fahrens verhängter Hausarrest nicht zur Bewirkung der tatsächlichen Verbringung des illegal aufhältigen Drittstaatsangehörigen aus dem betroffenen Mitgliedstaat beiträgt. Der Hausarrest kann vielmehr die Maßnahmen der Begleitung an die Grenze oder der Zwangsrückkehr auf dem Luftweg verzögern und behindern. Der Gerichtshof ist somit der Auffassung, dass die Rückführungsrichtlinie einer natio- nalen Regelung entgegensteht, die vorsieht, dass der illegale Aufenthalt eines Drittstaatsangehörigen mit Hausarrest bestraft werden kann, ohne sicherzustel- len, dass der Vollzug dieser Strafe zu beenden ist, sobald die tatsächliche Ver- bringung des Betroffenen aus diesem Mitgliedstaat möglich ist."</w:t>
      </w:r>
    </w:p>
    <w:p>
      <w:r>
        <w:rPr>
          <w:b/>
        </w:rPr>
        <w:t>E. 3.5</w:t>
      </w:r>
    </w:p>
    <w:p>
      <w:r>
        <w:t>In der Tat erklärte das Bundesgericht in seinem Urteil 6B_1172/2014 vom 23. November 2015 noch, dass die Verhängung einer Geldstrafe von 60 Tagessätzen der Rückführungsrichtlinie entgegenstehe, sofern das administra- tive Rückschaffungsverfahren noch nicht abgeschlossen sei (Urteil des Bundes- gerichts 6B_1172/2014 vom 23. November 2015 E. 1.3). Im (Leit-)Entscheid BGE 143 IV 249 hielt das Bundesgericht dann indessen ausdrücklich fest, dass von dieser Rechtsprechung abzuweichen sei und die Ausfällung einer Geldstrafe mit der Rückführungsrichtlinie nicht unvereinbar sei, solange das Rück- schaffungsverfahren nicht behindert werde (BGE 143 IV 249 E. 1.9). Im ebenfalls bereits dargestellten, kürzlich ergangenen Entscheid 6B_515/2018 vom 24. April 2019 setzte sich das Bundesgericht schliesslich konkret mit der Frage ausein- ander, ob die Verhängung einer Geldstrafe der Rückschaffung entgegenstehe. Es kam – wie erwähnt – zum Schluss, dass angesichts der vom Beschuldigten dar- gelegten Verweigerung der Mitwirkung bei der Beschaffung der Ausweispapiere und der stark beschränkten Dauer der Ersatzfreiheitsstrafe von 33.3 Tagen (zwei Drittel der ausgefällten Geldstrafe von 50 Tagessätzen) nicht ersichtlich sei, inwie- fern der Vollzug der Ersatzfreiheitstrafe die Rückführung des Beschwerdeführers hätte massgebend erschweren können. Dem Bundesgericht kann damit nicht – wie es die Verteidigung macht – pauschal vorgeworfen werden, dass es den Vorgaben des EuGH i.S. B._____ nicht nach-</w:t>
      </w:r>
    </w:p>
    <w:p>
      <w:r>
        <w:t>- 12 - komme. Tatsächlich ist nicht einzusehen, inwiefern die Rückführung eines Ausländers, welcher sich hiergegen von Beginn weg unter Versagung jeglicher Mitwirkung zur Wehr setzte, durch die Festsetzung einer kurzen Ersatzfreiheits- strafe konkret erschwert werden soll.</w:t>
      </w:r>
    </w:p>
    <w:p>
      <w:r>
        <w:rPr>
          <w:b/>
        </w:rPr>
        <w:t>E. 3.6</w:t>
      </w:r>
    </w:p>
    <w:p>
      <w:r>
        <w:t>Dieser Auffassung kann auch vorliegend gefolgt werden. Der Beschuldigte wurde rechtskräftig weggewiesen und hätte die Schweiz bis zum 25. Juli 2018 verlassen müssen. Zur migrationsrechtlichen Vollzugsgeschichte kann auf die zutreffenden Erwägungen der Vorinstanz verwiesen werden (Urk. 37 S. 8). Der Beschuldigte ersuchte am 24. August 2014 zum ersten Mal um Asyl, welches Gesuch mit Entscheid des SEM vom 21. Juli 2015 abgelehnt wurde (rechtskräftig abgewiesen mit Urteil des Bundesverwaltungsgerichts vom 17. September 2015; MA-Urk. 6). Mit Nichteintretensentscheid vom 14. Juni 2018 (Urk. 3) wurde schliesslich die Verfügung des SEM vom 17. April 2018 betreffend das zweite vom Beschuldigten gestellte Asylgesuch und damit die Wegweisung des Beschuldigten aus der Schweiz rechtskräftig (vgl. MA-Urk. 74). Die vorliegend ausgefällte Geldstrafe von 60 Tagessätzen (wovon 2 Tagessätze als durch Haft geleistet gelten) bzw. die abstrakte – wenngleich konkret aufgrund des tiefen Tagessatzes entfernte – Möglichkeit der Umwandlung in eine (allenfalls kürzere) Ersatzfreiheitsstrafe bewegt sich betreffend die Strafhöhe im Bereich der darge- stellten bundesgerichtlichen Rechtsprechung (die Ausfällung einer höheren Geld- strafe ist aufgrund des Verschlechterungsverbotes sodann nicht möglich). Ferner ist nicht ersichtlich, inwiefern die Bestrafung des Beschuldigten mit einer solchen Geldstrafe angesichts der dargelegten langandauernden migrationsrechtlichen Verfahrensgeschichte konkret der Rückschaffung des Beschuldigten entgegen stehen sollte. Die vorliegend zur Debatte stehende Geldstrafe erweist sich somit in Nachach- tung der bundesgerichtlichen Rechtsprechung als mit der Rückführungsrichtlinie kompatibel, und zwar auch vor Abschluss des administrativen Rückführungs- verfahrens (vgl. das Urteil des Bundesgerichts 6B_517/2018 vom 24. April 2019 E. 1.4.4). Auf die weitere von der Verteidigung aufgeworfene Frage nach dem</w:t>
      </w:r>
    </w:p>
    <w:p>
      <w:r>
        <w:t>- 13 - Stand des administrativen Rückführungsverfahrens braucht damit nicht einge- gangen zu werden.</w:t>
      </w:r>
    </w:p>
    <w:p>
      <w:r>
        <w:rPr>
          <w:b/>
        </w:rPr>
        <w:t>E. 3.7</w:t>
      </w:r>
    </w:p>
    <w:p>
      <w:r>
        <w:t>Der Schuldspruch der Vorinstanz ist damit zu bestätigen und der Beschul- digte ist des rechtswidrigen Aufenthaltes im Sinne von Art. 115 Abs. 1 lit. b AuG schuldig zu sprechen. IV. Sanktion 1. 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