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SB200185 vom 16. September 2020</w:t>
      </w:r>
    </w:p>
    <w:p>
      <w:r>
        <w:t>ZH Obergericht, 2020-09-16, DE</w:t>
      </w:r>
    </w:p>
    <w:p>
      <w:r>
        <w:rPr>
          <w:b/>
        </w:rPr>
        <w:t xml:space="preserve">Quelle: </w:t>
      </w:r>
      <w:r>
        <w:t>https://mcp.opencaselaw.ch/entscheid/zh_obergericht_SB200185</w:t>
      </w:r>
    </w:p>
    <w:p>
      <w:r>
        <w:t>FR: ZH_OBERGERICHT SB200185 du 16 septembre 2020</w:t>
      </w:r>
    </w:p>
    <w:p>
      <w:r>
        <w:t>IT: ZH_OBERGERICHT SB200185 del 16 settembre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des Bezirksgerichtes Dietikon vom 2. Oktober 2019 wurde die Beschuldigte der versuchten schweren Körperverletzung im Sinne von Art. 122 Abs. 1 StGB in Verbindung mit Art. 22 Abs. 1 StGB schuldig gesprochen und zu einer Freiheitsstrafe von 22 Monaten verurteilt. Gleichzeitig wurde eine stationäre therapeutische Massnahme im Sinne von Art. 60 StGB (Suchtbehandlung) ange- ordnet, und der Vollzug der Freiheitsstrafe wurde zugunsten der stationären Mas- snahme aufgeschoben (Urk. 64).</w:t>
      </w:r>
    </w:p>
    <w:p>
      <w:r>
        <w:rPr>
          <w:b/>
        </w:rPr>
        <w:t>E. 2</w:t>
      </w:r>
    </w:p>
    <w:p>
      <w:r>
        <w:t>Gegen dieses mündlich eröffnete Urteil liess die Beschuldigte mit Eingabe vom 3. Oktober 2019 Berufung anmelden (Prot. I S. 37 ff.; Urk. 59) und in der Folge mit Eingabe vom 24. April 2020 fristgerecht die Berufungserklärung erstat- ten (Urk. 63/2; Urk. 66). Innert der mit Präsidialverfügung vom 29. April 2020 an- gesetzten Frist erklärte die Staatsanwaltschaft mit Eingabe vom 7. Mai 2020 An- schlussberufung (Urk. 67; Urk. 69).</w:t>
      </w:r>
    </w:p>
    <w:p>
      <w:r>
        <w:rPr>
          <w:b/>
        </w:rPr>
        <w:t>E. 3</w:t>
      </w:r>
    </w:p>
    <w:p>
      <w:r>
        <w:t>In der Folge wurden die Parteien auf den 12. Januar 2021 zur Berufungs- verhandlung vorgeladen (Urk. 73). Mit Eingabe vom 9. September 2020 liess die Beschuldigte ihre Berufung zurückziehen (Urk. 75). Damit fällt auch die An- schlussberufung der Staatsanwaltschaft dahin (Art. 401 Abs. 3 StPO). Das Ver- fahren ist demzufolge als durch Rückzug erledigt abzuschreiben, und den Partei- en ist die Vorladung zur Berufungsverhandlung abzunehmen.</w:t>
      </w:r>
    </w:p>
    <w:p>
      <w:r>
        <w:rPr>
          <w:b/>
        </w:rPr>
        <w:t>E. 4</w:t>
      </w:r>
    </w:p>
    <w:p>
      <w:r>
        <w:t>Die Kosten des Rechtsmittelverfahrens tragen die Parteien nach Massga- be ihres Obsiegens oder Unterliegens. Als unterliegend gilt auch die Partei, auf deren Rechtsmittel nicht eingetreten wird oder die das Rechtsmittel zurückzieht (Art. 428 Abs. 1 StPO). Ausgangsgemäss sind die Kosten des Berufungsverfah- rens, mit Ausnahme derjenigen der amtlichen Verteidigung sowie der unentgeltli- chen Rechtsverbeiständung des Privatklägers, der Beschuldigten aufzuerlegen. Die Kosten der amtlichen Verteidigung sowie diejenigen der unentgeltlichen Rechtsverbeiständung des Privatklägers sind auf die Gerichtskasse zu nehmen,</w:t>
      </w:r>
    </w:p>
    <w:p>
      <w:r>
        <w:t>- 3 - wobei die Rückzahlungspflicht der Beschuldigten bezüglich der Kosten der amtli- chen Verteidigung vorzubehalten ist.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