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SB200151 vom 22. April 2020</w:t>
      </w:r>
    </w:p>
    <w:p>
      <w:r>
        <w:t>ZH Obergericht, 2020-04-22, DE</w:t>
      </w:r>
    </w:p>
    <w:p>
      <w:r>
        <w:rPr>
          <w:b/>
        </w:rPr>
        <w:t xml:space="preserve">Quelle: </w:t>
      </w:r>
      <w:r>
        <w:t>https://mcp.opencaselaw.ch/entscheid/zh_obergericht_SB200151</w:t>
      </w:r>
    </w:p>
    <w:p>
      <w:r>
        <w:t>FR: ZH_OBERGERICHT SB200151 du 22 avril 2020</w:t>
      </w:r>
    </w:p>
    <w:p>
      <w:r>
        <w:t>IT: ZH_OBERGERICHT SB200151 del 22 aprile 2020</w:t>
      </w:r>
    </w:p>
    <w:p>
      <w:pPr>
        <w:pStyle w:val="Heading2"/>
      </w:pPr>
      <w:r>
        <w:t>Erwägungen</w:t>
      </w:r>
    </w:p>
    <w:p>
      <w:r>
        <w:rPr>
          <w:b/>
        </w:rPr>
        <w:t>E. 1</w:t>
      </w:r>
    </w:p>
    <w:p>
      <w:r>
        <w:t>Gegen das Urteil des Bezirksgerichtes Zürich, 10. Abteilung - Einzelgericht, vom 7. November 2019 meldete die Beschuldigte zwar Berufung an (Urk. 31), innert der Frist von Art. 399 Abs. 3 StPO reichte sie aber keine Berufungser- klärung ein. Deshalb ist auf die Berufung gestützt auf Art. 403 Abs. 1 und Abs. 3 StPO nicht einzutreten.</w:t>
      </w:r>
    </w:p>
    <w:p>
      <w:r>
        <w:rPr>
          <w:b/>
        </w:rPr>
        <w:t>E. 2</w:t>
      </w:r>
    </w:p>
    <w:p>
      <w:r>
        <w:t>Die zweitinstanzliche Gerichtsgebühr wird festgesetzt auf Fr. 600.–.</w:t>
      </w:r>
    </w:p>
    <w:p>
      <w:r>
        <w:rPr>
          <w:b/>
        </w:rPr>
        <w:t>E. 3</w:t>
      </w:r>
    </w:p>
    <w:p>
      <w:r>
        <w:t>Die Kosten des Berufungsverfahrens werden der Beschuldigten auferlegt.</w:t>
      </w:r>
    </w:p>
    <w:p>
      <w:r>
        <w:rPr>
          <w:b/>
        </w:rPr>
        <w:t>E. 4</w:t>
      </w:r>
    </w:p>
    <w:p>
      <w:r>
        <w:t>Schriftliche Mitteilung an − die Verteidigung im Doppel für sich und zuhanden der Beschuldigten − die Staatsanwaltschaft Zürich-Limmat − den unentgeltlichen Rechtsvertreter der Privatklägerin B._____ im Doppel für sich und zuhanden der Privatklägerin bzw. deren gesetzliche Vertretung sowie nach unbenütztem Ablauf der Rechtsmittelfrist resp. Erledigung allfälliger Rechtsmittel an die Vorinstanz.</w:t>
      </w:r>
    </w:p>
    <w:p>
      <w:r>
        <w:t>- 3 -</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April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