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SB200084 vom 17. Februar 2021</w:t>
      </w:r>
    </w:p>
    <w:p>
      <w:r>
        <w:t>ZH Obergericht, 2021-02-17, DE</w:t>
      </w:r>
    </w:p>
    <w:p>
      <w:r>
        <w:rPr>
          <w:b/>
        </w:rPr>
        <w:t xml:space="preserve">Quelle: </w:t>
      </w:r>
      <w:r>
        <w:t>https://mcp.opencaselaw.ch/entscheid/zh_obergericht_SB200084</w:t>
      </w:r>
    </w:p>
    <w:p>
      <w:r>
        <w:t>FR: ZH_OBERGERICHT SB200084 du 17 février 2021</w:t>
      </w:r>
    </w:p>
    <w:p>
      <w:r>
        <w:t>IT: ZH_OBERGERICHT SB200084 del 17 febbraio 2021</w:t>
      </w:r>
    </w:p>
    <w:p>
      <w:pPr>
        <w:pStyle w:val="Heading2"/>
      </w:pPr>
      <w:r>
        <w:t>Erwägungen</w:t>
      </w:r>
    </w:p>
    <w:p>
      <w:r>
        <w:rPr>
          <w:b/>
        </w:rPr>
        <w:t>E. 1</w:t>
      </w:r>
    </w:p>
    <w:p>
      <w:r>
        <w:t>Das eingangs im Dispositiv erwähnte Urteil des Bezirksgerichts Zürich, 10. Abteilung, vom 14. November 2019 wurde den Parteien nach durchgeführter Hauptverhandlung am selben Tag mündlich eröffnet und im Dispositiv mitgeteilt (Prot. I S. 15 f.). Die Staatsanwaltschaft I des Kantons Zürich (nachfolgend Staatsanwaltschaft) meldete am 19. November 2019 Berufung an (Urk. 22), wo- rauf die begründete Ausfertigung des Urteils (Urk. 27) den Parteien am 5. resp.</w:t>
      </w:r>
    </w:p>
    <w:p>
      <w:r>
        <w:rPr>
          <w:b/>
        </w:rPr>
        <w:t>E. 1.1</w:t>
      </w:r>
    </w:p>
    <w:p>
      <w:r>
        <w:t>Gestützt auf Art. 428 Abs. 3 StPO hat die Rechtsmittelinstanz von Amtes wegen auch über die von der Vorinstanz getroffene Kostenregelung zu befinden, wenn sie selber ein neues Urteil fällt und nicht kassatorisch entscheidet (GRIESSER in: Donatsch/Lieber/Summers/Wohlers, Kommentar zur Schweizerischen Straf- prozessordnung, 3. Aufl. 2020 [kurz: ZH Komm. StPO], N 14 zu Art. 428).</w:t>
      </w:r>
    </w:p>
    <w:p>
      <w:r>
        <w:rPr>
          <w:b/>
        </w:rPr>
        <w:t>E. 1.2</w:t>
      </w:r>
    </w:p>
    <w:p>
      <w:r>
        <w:t>Gemäss Art. 426 Abs. 1 StPO trägt die beschuldigte Person die Verfahrens- kosten, wenn sie verurteilt wird. Ausgenommen sind die Kosten der amtlichen Verteidigung, wobei Art. 135 Abs. 4 StPO vorbehalten bleibt, wonach für diese Kosten auf den Beschuldigten Rückgriff genommen werden kann, sobald es seine wirtschaftlichen Verhältnisse erlauben.</w:t>
      </w:r>
    </w:p>
    <w:p>
      <w:r>
        <w:rPr>
          <w:b/>
        </w:rPr>
        <w:t>E. 1.3</w:t>
      </w:r>
    </w:p>
    <w:p>
      <w:r>
        <w:t>Nach der Rechtsprechung sind der beschuldigten Person, die bei mehreren angeklagten Straftaten nur teilweise schuldig gesprochen wird, die Verfahrens- kosten nur anteilmässig aufzuerlegen. Dies gilt jedenfalls, soweit sich die ver- schiedenen Anklagekomplexe klar auseinanderhalten lassen. Die anteilmässig auf die mit einem Freispruch endenden Anklagepunkte entfallenden Kosten ver- bleiben gestützt auf Art. 423 StPO i.V. m. Art. 426 Abs. 2 StPO beim Staat. Für die Kostenauflage gemäss Art. 426 StPO ist nicht die rechtliche Würdigung und die Anzahl der angeklagten Tatbestände, sondern der zur Anklage gebrachte Sachverhalt massgebend (Urteil des Bundesgerichts 6B_803/2014 vom 15. Janu- ar 2015 E. 3.5). Der beschuldigten Person können die gesamten Kosten des Un- tersuchungsverfahrens und des erstinstanzlichen Verfahrens auferlegt werden,</w:t>
      </w:r>
    </w:p>
    <w:p>
      <w:r>
        <w:t>- 34 - wenn die ihr zur Last gelegten Handlungen in einem engen und direkten Zusam- menhang stehen und alle Untersuchungshandlungen hinsichtlich jedes Anklage- punkts notwendig waren. Bei einem einheitlichen Sachverhaltskomplex ist vom Grundsatz der vollständigen Kostenauflage nur abzuweichen, wenn die Strafun- tersuchung im freisprechenden Punkt zu Mehrkosten geführt hat (Urteile des Bundesgerichts 6B_115/2019 vom 15. Mai 2019 E. 4.3; 6B_151/2014 vom 4. De- zember 2014 E. 3.2 und 6B_574/2012 vom 28. Mai 2013 E. 2.3; DOMEISEN in: Schweizerische Strafprozessordnung, Basler Kommentar, 2. Aufl. 2014, N 6 zu Art. 426; GRIESSER, ZH Komm. StPO, N 3 zu Art. 426). 2.1. Der Beschuldigte wird verurteilt, so dass er grundsätzlich die Kosten der Un- tersuchung und des erstinstanzlichen Gerichtsverfahrens zu tragen hat. Auch rechtfertigt der in Rechtskraft erwachsene Teilfreispruch wegen Pornografie keine Aufteilung der Verfahrenskosten, da es um einen einzigen einheitlichen und zu- sammenhängenden Lebenssachverhalt ging, der zu untersuchen war und sich die Strafuntersuchung jederzeit auf den ganzen Lebenssachverhalt bezog, so dass bezüglich des Vorwurfs der Pornografie keine Mehrkosten angefallen sind, die dem Staat alleine verbleiben würden. Somit sind dem Beschuldigten die Kosten der Strafuntersuchung und des vorinstanzlichen Verfahrens aufzuerlegen. Nach- dem das Einzelgericht des Bezirksgerichts Zürich infolge des Freispruchs keine Gerichtsgebühr festgesetzt hat, ist dies nunmehr nachzuholen. Gestützt auf die §§ 16, 2 Abs. 1 lit. b, c und d sowie 14 GebV OG ist die Gerichtsgebühr unter Be- rücksichtigung der Bedeutung und Schwierigkeit des Falles sowie des Zeitauf- wands des Gerichts auf Fr. 1'800.– festzusetzen. Die Vorinstanz hat die Entschä- digung für den amtlichen Verteidiger des Beschuldigten pauschal mit Fr. 6'500.– für die Aufwendungen seiner anwaltlichen Vertretung gestützt auf dessen Hono- rarnote festgesetzt. Dies ist ohne weiteres zu bestätigen, da der Aufwand gestützt auf die Anwaltsgebührenverordnung und den konkreten Umständen des vorlie- genden Falles notwendig und angemessen ist. 2. Zweitinstanzliche Kosten- und Entschädigungsfolgen 2.1. Die Kosten des Rechtsmittelverfahrens tragen die Parteien nach Massgabe ihres Obsiegens oder Unterliegens (Art. 428 Abs. 1 StPO). Ob bzw. inwieweit eine</w:t>
      </w:r>
    </w:p>
    <w:p>
      <w:r>
        <w:t>- 35 - Partei im Sinne dieser Bestimmung obsiegt oder unterliegt, hängt davon ab, in welchem Ausmass ihre vor der zweiten Instanz gestellten Anträge gutgeheissen werden (Urteil des Bundesgerichts 6B_1025/2014 vom 9. Februar 2015 E. 2.4.1 mit Hinweisen; bestätigt in 6B_10/2015 vom 24. März 2015 E. 4.2.1). Für die Kos- tenauflage gemäss Art. 426 Abs. 1 StPO sind nicht die rechtliche Würdigung und die Anzahl der angeklagten Tatbestände, sondern der zur Anklage gebrachte Le- benssachverhalt massgebend (Urteil des Bundesgerichts 6B_803/2014 vom</w:t>
      </w:r>
    </w:p>
    <w:p>
      <w:r>
        <w:rPr>
          <w:b/>
        </w:rPr>
        <w:t>E. 1.4</w:t>
      </w:r>
    </w:p>
    <w:p>
      <w:r>
        <w:t>Vorliegend fehlt es unstrittig am körperlichen Kontakt zwischen dem Be- schuldigten und dem Kind, womit einzig eine versuchte Begehung zu prüfen bleibt und die Frage, ob die Schwelle von der straflosen Vorbereitungshandlung zum Versuch überschritten wurde. Das ist vorliegend der Fall. Der Beschuldigte hat seine Absicht, die von ihm vorgeschlagenen sexuellen Handlungen mit der 14-jährigen "C._____" in der Realität umzusetzen, objektiv manifestiert, indem er die Anonymität des Internets verlassen hat, zur Wohn- adresse von "C._____" fuhr, dort (vereinbarungsgemäss) vor der Haustüre er- schien und zwecks Ausüben des Geschlechtsverkehrs gar eigens unmittelbar zu- vor gekaufte Kondome mit sich führte. Aufgrund des Chat- und Emailverkehrs standen sowohl der Tatplan des Beschuldigten als auch der Tatort (Wohnung von C._____) und die Tatzeit (Samstag, 15. Juni 2019, ab 14.00 Uhr) fest. Der Be- schuldigte befand sich bei der Verhaftung somit bereits am Tatort. Die Tatnähe in</w:t>
      </w:r>
    </w:p>
    <w:p>
      <w:r>
        <w:t>- 17 - zeitlicher und örtlicher Hinsicht ist somit zweifelsfrei gegeben. Zur Tatbestands- verwirklichung hätte es entgegen der Verteidigung keineswegs mehr eines vorbe- reitenden Gesprächs bedurft, zumal das Kind in der gegenseitigen schriftlichen Konversation seine Einwilligung kundgetan und diese gar durch die Bekanntgabe ihres Domizils bekräftigt hatte. Da es sich bei "C._____" jedoch nicht um ein Kind, sondern um einen verdeckten Fahnder der Polizei handelte, liegt ein untauglicher Versuch im Sinne von Art. 22 Abs. 1 StGB vor.</w:t>
      </w:r>
    </w:p>
    <w:p>
      <w:r>
        <w:rPr>
          <w:b/>
        </w:rPr>
        <w:t>E. 1.5</w:t>
      </w:r>
    </w:p>
    <w:p>
      <w:r>
        <w:t>Rechtfertigungs- oder Schuldausschlussgründe liegen keine vor.</w:t>
      </w:r>
    </w:p>
    <w:p>
      <w:r>
        <w:rPr>
          <w:b/>
        </w:rPr>
        <w:t>E. 1.6</w:t>
      </w:r>
    </w:p>
    <w:p>
      <w:r>
        <w:t>Der Beschuldigte ist somit der versuchten sexuellen Handlungen mit Kindern im Sinne von Art. 187 Ziff. 1 StGB i.V.m. Art. 22 Abs. 1 StGB schuldig zu spre- chen, wofür er angemessen zu bestrafen ist. IV. Strafe 1. Standpunkt der Parteien</w:t>
      </w:r>
    </w:p>
    <w:p>
      <w:r>
        <w:rPr>
          <w:b/>
        </w:rPr>
        <w:t>E. 6</w:t>
      </w:r>
    </w:p>
    <w:p>
      <w:r>
        <w:t>Dezember 2017, E. III.3.; SB180036, Urteil vom 3. Juli 2018, E. V.3; SB170394, Urteil vom 16. Oktober 2018, E. VI.6.1 sowie SB180400, Urteil vom 2. April 2019 E. IV.4.). 4.2. Es ist unbestritten, dass der Beschuldigte einem Mitgliedstaat der EU ange- hört, das ein Mitgliedstaat des Schengen-Übereinkommens ist. Die Vorausset-</w:t>
      </w:r>
    </w:p>
    <w:p>
      <w:r>
        <w:t>- 31 - zungen für die Ausschreibung im Schengener Informationssystem sind angesichts der (auch) bulgarischen Staatsangehörigkeit des Beschuldigten nicht erfüllt, wes- halb von einer Ausschreibung im Schengener Informationssystem (SIS) abzuse- hen ist. VI. Tätigkeitsverbot 1. Die Staatsanwaltschaft beantragt ohne weitere Begründung die Anordnung eines Tätigkeitsverbots im Sinne von Art. 67 Abs. 3 lit. b und d StGB (Urk. 15 S. 5; Urk. 35 S. 2 ff.), dem sich der Beschuldigte unter Verweis auf eine gute Legal- prognose entgegenstellt (Urk. 38 S. 20 f.). 2. Wird jemand wegen einer der unter Art. 67 Abs. 3 lit. a - c StGB genannten Straftaten zu einer Strafe verurteilt oder wird deswegen gegen ihn eine Mass- nahme nach den Artikeln 59 - 61, 63 oder 64 angeordnet, so verbietet ihm das Gericht gemäss Art. 67 Abs. 3 lit. b StGB lebenslänglich jede berufliche und jede organisierte ausserberufliche Tätigkeit, die einen regelmässigen Kontakt zu Min- derjährigen umfasst. Diese Fassung von Art. 67 Abs. 3 StGB trat am 1. Januar 2019 in Kraft und ist daher auf die vorliegende Tat ohne weiteres anwendbar. 3. Die Straftat, derer sich der Beschuldigte schuldig gemacht hat, ist in Art. 67 Abs. 3 lit. b StGB aufgeführt. Die hierfür auszusprechende Strafe beläuft sich auf</w:t>
      </w:r>
    </w:p>
    <w:p>
      <w:r>
        <w:rPr>
          <w:b/>
        </w:rPr>
        <w:t>E. 10</w:t>
      </w:r>
    </w:p>
    <w:p>
      <w:r>
        <w:t>Monate Freiheitsstrafe. Die Voraussetzungen für ein Tätigkeitsverbot gemäss Art. 67 Abs. 3 StGB sind somit erfüllt, weshalb zwingend ein solches auszuspre- chen ist (Urteile des hiesigen Obergerichts SB190173 vom 29. Oktober 2019 E. VI.1.3.; SB180258 vom 23. November 2018, E. IV 2.; SB 170149 vom 1. Sep- tember 2017, E. VII.1.; JOISTSCH/EGE/SCHWARZENEGGER, Strafrecht II - Strafen und Massnahmen, 9. Aufl. 2018, S. 223 f. und Fn 284; BERTOSSA, in: Trech- sel/Pieth, Schweizerisches Strafgesetzbuch, Praxiskommentar, 3. Aufl. 2018 [kurz: PK Kommentar StGB], N 12 zu Art. 67; HEIMGARTNER in: OF-Kommentar StGB/JStG, 20. Aufl. 2018, N 9 zu Art. 67; mit Verweis auf Botschaft, BBl 2012 8851). Die zwingenden Tätigkeitsverbote nach Abs. 3 und 4 sind auch aufgrund von Taten zu verhängen, die nicht in Ausübung der zu verbietenden Tätigkeit be-</w:t>
      </w:r>
    </w:p>
    <w:p>
      <w:r>
        <w:t>- 32 - gangen worden sind. Es ist nicht die Zukunftsprognose relevant, sondern der schlechte Leumund. Wer in der Vergangenheit ein bestimmtes Verhalten an den Tag gelegt hat, ist für bestimmte Berufe und Tätigkeiten nicht geeignet (BERTOSSA, PK Kommentar StGB, N 14 und 15 zu Art. 67; Botschaft, BBl 2012 8850 f.). 4. Gemäss Art. 67 Abs. 4bis StGB kann das Gericht in besonders leichten Fäl- len ausnahmsweise von der Anordnung eines Tätigkeitsverbotes nach Abs. 3 o- der 4 absehen, wenn ein solches Verbot nicht notwendig erscheint, um den Täter von der Begehung weiterer Straftaten abzuhalten, wie sie Anlass für das Verbot sind. Von der Anordnung eines Tätigkeitsverbotes darf jedoch nicht abgesehen werden, wenn der Täter wegen Menschenhandel (Art. 182), sexueller Nötigung (Art. 189), Vergewaltigung (Art. 190), Schändung (Art. 191) oder Förderung der Prostitution (Art. 195) verurteilt worden ist (lit. a) oder wenn er gemäss den inter- national anerkannten Klassifikationskriterien pädophil ist (lit. b). Die Vorausset- zungen müssen kumulativ erfüllt sein. Als besonders leichte Fälle werden Fälle angesehen, die in objektiver und subjektiver Hinsicht Bagatellcharakter aufweisen (Notschlaft BBl 2016 6161). Die präventive Notwendigkeit entfällt, wenn Anhalts- punkte für eine Wiederholungsgefahr fehlen (Botschaft BBl 2016 6161). 5. Der Beschuldigte hat die Tat nicht in Ausübung einer beruflichen oder einer organisierten ausserberuflichen Tätigkeit begangen. Nach dem Willen des Ge- setzgebers führt eine Ausgangslage wie die vorliegende dennoch zwingend zu ei- nem lebenslänglichen Tätigkeitsverbot, ohne dass die konkreten Umstände des Einzelfalles zu prüfen wären (WOHLERS, Schweizerisches Strafgesetzbuch, Hand- kommentar, 4. Aufl. 2020, N 16 zu Art. 67 StGB). Auch sind die kumulativen Vo- raussetzungen gemäss Art. 67 Abs. 4bis StGB vorliegend nicht erfüllt. Zum einen handelt es sich nicht um einen besonders leichten Fall und zum anderen sind hier Anhaltspunkte für eine Wiederholungsgefahr gegeben, nachdem der Beschuldigte als Motiv die infolge der Schwangerschaft seiner Frau verminderte sexuelle Aktivi- tät in der Ehe als Grund für die Kontaktaufnahme angab (s. auch vorstehende E. V.3.3. S. 29). Immerhin ist in diesem Zusammenhang darauf hinzuweisen, dass der Beschuldigte jedenfalls seine aktuelle berufliche Tätigkeit als Gerüst- bauer kaum mit einem regelmässigen Kontakt mit Minderjährigen einhergeht. Das</w:t>
      </w:r>
    </w:p>
    <w:p>
      <w:r>
        <w:t>- 33 - Tätigkeitsverbot dürfte den Beschuldigten also in beruflicher Hinsicht nicht stark einschränken. 6. Nach dem Gesagten ist dem Beschuldigte in Anwendung von Art. 67 Abs. 3 lit. b StGB jede berufliche und jede organisierte ausserberufliche Tätigkeit, die ei- nen regelmässigen Kontakt zu Minderjährigen umfasst, lebenslänglich zu verbie- ten. VII. Kosten- und Entschädigungsfolgen 1. Erstinstanzliche Kosten- und Entschädigungsfolgen</w:t>
      </w:r>
    </w:p>
    <w:p>
      <w:r>
        <w:rPr>
          <w:b/>
        </w:rPr>
        <w:t>E. 15</w:t>
      </w:r>
    </w:p>
    <w:p>
      <w:r>
        <w:t>Januar 2015 E. 3.5). Wird der Entscheid im Rechtsmittelverfahren nur unwe- sentlich abgeändert, können die Kosten nach dem Verursacherprinzip auferlegt werden (Urteil des Bundesgerichts 6B_318/2016 vom 13. Oktober 2016 E. 4.1 mit Hinweisen). 2.2. Die Gerichtsgebühr für das Berufungsverfahrens ist in Anwendung von Art. 424 Abs. 1 StPO i. V. m. §§ 16, 2 Abs. 1 lit. b, c und d sowie 14 GebV OG un- ter Berücksichtigung der Bedeutung und Schwierigkeit des Falles sowie des Zeit- aufwands des Gerichts für dieses Verfahren auf Fr. 3'000.– festzusetzen. 2.3. Die Staatsanwaltschaft obsiegt mit ihren Anträgen fast vollumfänglich, wo- hingegen der Beschuldigte mit Ausnahme bezüglich des Nebenpunktes der Aus- schreibung im SIS unterliegt. Es rechtfertigt sich somit, ihm die Kosten des Beru- fungsverfahrens aufzuerlegen, wobei die Kosten für die amtliche Verteidigung zu- nächst auf die Gerichtskasse zu nehmen sind. Gestützt auf Art. 135 Abs. 4 StPO hat der Beschuldigte die Kosten der amtlichen Verteidigung dem Staat zurückzu- zahlen, sobald es seine wirtschaftlichen Verhältnisse erlauben. 2.4. Die amtliche Verteidigung macht für ihre Aufwendungen und Barauslagen im Berufungsverfahren Fr. 5'573.30 geltend (Urk. 44). Das geltend gemachte Hono- rar steht im Einklang mit den Ansätzen der Anwaltsgebührenverordnung und er- weist sich grundsätzlich als angemessen. Zuzüglich des Aufwandes für die heuti- ge Befragung des Beschuldigten vor Schranken ist Rechtsanwalt X._____ pau- schal mit einem Honorar von Fr. 6'200.– (inkl. MwSt.) aus der Gerichtskasse zu entschädigen.</w:t>
      </w:r>
    </w:p>
    <w:p>
      <w:r>
        <w:t>- 36 -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