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SB190547 vom 18. Februar 2020</w:t>
      </w:r>
    </w:p>
    <w:p>
      <w:r>
        <w:t>ZH Obergericht, 2020-02-18, DE</w:t>
      </w:r>
    </w:p>
    <w:p>
      <w:r>
        <w:rPr>
          <w:b/>
        </w:rPr>
        <w:t xml:space="preserve">Quelle: </w:t>
      </w:r>
      <w:r>
        <w:t>https://mcp.opencaselaw.ch/entscheid/zh_obergericht_SB190547</w:t>
      </w:r>
    </w:p>
    <w:p>
      <w:r>
        <w:t>FR: ZH_OBERGERICHT SB190547 du 18 février 2020</w:t>
      </w:r>
    </w:p>
    <w:p>
      <w:r>
        <w:t>IT: ZH_OBERGERICHT SB190547 del 18 febbraio 2020</w:t>
      </w:r>
    </w:p>
    <w:p>
      <w:pPr>
        <w:pStyle w:val="Heading2"/>
      </w:pPr>
      <w:r>
        <w:t>Erwägungen</w:t>
      </w:r>
    </w:p>
    <w:p>
      <w:r>
        <w:rPr>
          <w:b/>
        </w:rPr>
        <w:t>E. 1</w:t>
      </w:r>
    </w:p>
    <w:p>
      <w:r>
        <w:t>a) In der Betreibung Nr. … des Betreibungsamtes Thalwil-Rüschlikon- Kilchberg forderte die Privatklägerin vom Beschuldigten ausstehende Unterhalts- beiträge von etwas mehr als Fr. 180'000.– (Urk. 2/2, Prot. I S. 12). Nachdem der Beschuldigte Rechtsvorschlag erhoben hatte, der Privatklägerin aber die definitive Rechtsöffnung erteilt worden war, schritt das Betreibungsamt aufgrund des Fort- setzungsbegehrens der Privatklägerin am 2. Mai 2017 zum Pfändungsvollzug. Der Beschuldigte hatte zwischenzeitlich eine negative Feststellungsklage (Art. 85a</w:t>
      </w:r>
    </w:p>
    <w:p>
      <w:r>
        <w:t>- 5 - SchKG) erhoben, die aber abgewiesen wurde (Urk. 38/3). Auch seine betreibungs- rechtliche Beschwerde, mit welcher er die Nichtigerklärung der Betreibung und damit auch der Pfändung und des provisorischen Verlustscheins anstrebte, blieb durch alle Instanzen erfolglos (zum Ganzen: Urk. 2/7). b) Beim Pfändungsvollzug liess sich der Beschuldigte von seiner damaligen Lebenspartnerin X._____ vertreten (Urk. 2/1, Urk. 4/2 S. 5). Sie deklarierte dabei das Konto des Beschuldigten bei der B._____ Bank mit einem Guthaben von ca. Fr. 11'000.– (Urk. 2/3). Der Beschuldigte gab in der Untersuchung sowie anlässlich der Berufungsverhandlung zu, dass sie die diesbezügliche Information und einen entsprechenden Kontoauszug vom 21. März 2017 von ihm erhalten hatte (Urk. 4/2 S. 7/8; Prot. II S. 15). Aufgrund eines weiteren, am 7. Mai 2017 ausgestellten Aus- zugs (Urk. 2/6) ist erstellt, dass der Beschuldigte am 24. März 2017 von seiner Ar- beitgeberin eine Lohnzahlung von Fr. 44'751.85 erhielt. Am 2. Mai 2017 belief sich das Guthaben auf dem besagten Konto auf Fr. 51'637.43 (a.a.O., S. 1). Der Be- schuldigte begab sich zugegebenermassen wenige Stunden und dann noch einmal drei Tage nach dem Pfändungsvollzug zur Filiale …-platz der B._____ Bank und tätigte zwei Barbezüge von insgesamt Fr. 51'006.05 (Urk. 2/6 S. 1, Urk. 4/2 S. 9/10, Urk. 37 S. 1). Er räumte in seiner Berufungserklärung sowie anlässlich der Berufungsverhandlung ein, dass er damit den Zugriff des Betreibungsamtes auf dieses Geld verhindern wollte (Urk. 37 S. 3; Prot. II S. 12). Das Betreibungsamt Thalwil-Rüschlikon-Kilchberg hielt sodann in der Pfändungsurkunde vom 21. Juni 2017 (Urk. 2/5) fest, dass das pfändbare Vermögen (zur vollen Befriedigung der Gläubigerin) ungenügend sei und die Pfändungsurkunde demgemäss als proviso- rischer Verlustschein im Sinne von Art. 115 Abs. 2 SchKG gelte (a.a.O., S. 4). Demnach ist in objektiver Hinsicht erstellt, dass der Beschuldigte seine Rechtsver- treterin beim Pfändungsvollzug ein Bankguthaben von ca. Fr. 40'000.– verheimli- chen liess. Kurz darauf hob er zudem insgesamt Fr. 51'006.05 vom Konto bei der B._____ Bank ab und entzog es damit dem Zugriff des Betreibungsamtes.</w:t>
      </w:r>
    </w:p>
    <w:p>
      <w:r>
        <w:rPr>
          <w:b/>
        </w:rPr>
        <w:t>E. 2</w:t>
      </w:r>
    </w:p>
    <w:p>
      <w:r>
        <w:t>Ausgangsgemäss sind die Kosten der Untersuchung sowie des gerichtli- chen Verfahrens beider Instanzen auf die Gerichtskasse zu nehmen.</w:t>
      </w:r>
    </w:p>
    <w:p>
      <w:r>
        <w:t>- 9 -</w:t>
      </w:r>
    </w:p>
    <w:p>
      <w:r>
        <w:rPr>
          <w:b/>
        </w:rPr>
        <w:t>E. 3</w:t>
      </w:r>
    </w:p>
    <w:p>
      <w:r>
        <w:t>Die Kosten der Untersuchung und des gerichtlichen Verfahrens beider In- stanzen werden auf die Gerichtskasse genommen.</w:t>
      </w:r>
    </w:p>
    <w:p>
      <w:r>
        <w:rPr>
          <w:b/>
        </w:rPr>
        <w:t>E. 4</w:t>
      </w:r>
    </w:p>
    <w:p>
      <w:r>
        <w:t>Dem Beschuldigten wird für das gesamte Verfahren eine Umtriebsentschädi- gung von Fr. 500.– aus der Gerichtskasse zugesprochen.</w:t>
      </w:r>
    </w:p>
    <w:p>
      <w:r>
        <w:rPr>
          <w:b/>
        </w:rPr>
        <w:t>E. 5</w:t>
      </w:r>
    </w:p>
    <w:p>
      <w:r>
        <w:t>Die Privatklägerin B._____ wird mit ihren Zivilansprüchen auf den Weg des Zivilprozesses verwiesen.</w:t>
      </w:r>
    </w:p>
    <w:p>
      <w:r>
        <w:rPr>
          <w:b/>
        </w:rPr>
        <w:t>E. 6</w:t>
      </w:r>
    </w:p>
    <w:p>
      <w:r>
        <w:t>Mündliche Eröffnung und schriftliche Mitteilung im Dispositiv an − den Beschuldigten (übergeben) − die Staatsanwaltschaft Limmattal / Albis − die Privatklägerin sowie in vollständiger Ausfertigung an − den Beschuldigten − die Staatsanwaltschaft Limmattal / Albis − die Privatklägerin</w:t>
      </w:r>
    </w:p>
    <w:p>
      <w:r>
        <w:t>- 10 - und nach unbenütztem Ablauf der Rechtsmittelfrist bzw. Erledigung allfälliger Rechtsmittel an − die Vorinstanz − die Kantonspolizei Zürich, KDM-ZD, mit separatem Schreiben (§ 54a Abs. 1 PolG) − die Koordinationsstelle VOSTRA zur Entfernung der Daten gemäss Art. 12 Abs. 1 lit. d VOSTRA mittels Kopie von Urk. 36.</w:t>
      </w:r>
    </w:p>
    <w:p>
      <w:r>
        <w:rPr>
          <w:b/>
        </w:rPr>
        <w:t>E. 7</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Obergericht des Kantons Zürich II. Strafkammer Zürich, 18. Februar 2020 Die Präsidentin: Der Gerichtsschreiber: Oberrichterin lic. iur. Wasser-Keller MLaw Orlando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