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SB190499 vom 1. März 2022</w:t>
      </w:r>
    </w:p>
    <w:p>
      <w:r>
        <w:t>ZH Obergericht, 2022-03-01, DE</w:t>
      </w:r>
    </w:p>
    <w:p>
      <w:r>
        <w:rPr>
          <w:b/>
        </w:rPr>
        <w:t xml:space="preserve">Quelle: </w:t>
      </w:r>
      <w:r>
        <w:t>https://mcp.opencaselaw.ch/entscheid/zh_obergericht_SB190499</w:t>
      </w:r>
    </w:p>
    <w:p>
      <w:r>
        <w:t>FR: ZH_OBERGERICHT SB190499 du 1 mars 2022</w:t>
      </w:r>
    </w:p>
    <w:p>
      <w:r>
        <w:t>IT: ZH_OBERGERICHT SB190499 del 1 marzo 2022</w:t>
      </w:r>
    </w:p>
    <w:p>
      <w:pPr>
        <w:pStyle w:val="Heading2"/>
      </w:pPr>
      <w:r>
        <w:t>Erwägungen</w:t>
      </w:r>
    </w:p>
    <w:p>
      <w:r>
        <w:rPr>
          <w:b/>
        </w:rPr>
        <w:t>E. 1</w:t>
      </w:r>
    </w:p>
    <w:p>
      <w:r>
        <w:t>Die Staatsanwaltschaft IV des Kantons Zürich erhob am 26. April 2018 An- klage gegen den Beschuldigten wegen schwerer Körperverletzung und Raufhan- del (Urk. 48). Das eingangs im Dispositiv erwähnte Urteil des Bezirksgerichts Dietikon vom 17. Januar 2019 wurde den Parteien nach durchgeführter Hauptver- handlung am selben Tag mündlich eröffnet und im Dispositiv mitgeteilt (Prot. I S. 9 ff.,45; Urk. 87). Gegen dieses Urteil meldeten sämtliche Parteien fristgerecht Berufung an (Urk. 88, 89 und 90), worauf die begründete Ausfertigung (Urk. 95, identisch mit Urk. 97) den Parteien am 18. bzw. 21. Oktober 2019 zugestellt wur- de (Urk. 96/1-3). Mit Eingabe vom 30. Oktober 2019 zog der Beschuldigte noch während laufender Frist zur Einreichung der Berufungserklärung seine Berufung vom 21. Januar 2019 zurück (Urk. 99). Am 1. November 2019 (Datum des Post- stempels) erstatteten zunächst die Staatsanwaltschaft (Urk. 100) und am</w:t>
      </w:r>
    </w:p>
    <w:p>
      <w:r>
        <w:rPr>
          <w:b/>
        </w:rPr>
        <w:t>E. 1.1</w:t>
      </w:r>
    </w:p>
    <w:p>
      <w:r>
        <w:t>Gestützt auf Art. 428 Abs. 3 StPO hat die Rechtsmittelinstanz von Amtes wegen auch über die von der Vorinstanz getroffene Kostenregelung zu befinden, wenn sie selber ein neues Urteil fällt und nicht kassatorisch entscheidet.</w:t>
      </w:r>
    </w:p>
    <w:p>
      <w:r>
        <w:rPr>
          <w:b/>
        </w:rPr>
        <w:t>E. 1.2</w:t>
      </w:r>
    </w:p>
    <w:p>
      <w:r>
        <w:t>Gemäss Art. 426 Abs. 1 StPO trägt die beschuldigte Person die Verfahrens- kosten, wenn sie verurteilt wird. Ausgenommen sind die Kosten der amtlichen Verteidigung, wobei Art. 135 Abs. 4 StPO vorbehalten bleibt, wonach für diese Kosten auf den Beschuldigten Rückgriff genommen werden kann, sobald es seine wirtschaftlichen Verhältnisse erlauben. Wird das Verfahren eingestellt oder die</w:t>
      </w:r>
    </w:p>
    <w:p>
      <w:r>
        <w:t>- 46 - beschuldigte Person freigesprochen, können ihr die Verfahrenskosten ganz oder teilweise auferlegt werden, wenn sie rechtswidrig und schuldhaft die Einleitung des Verfahrens bewirkt oder dessen Durchführung erschwert hat (Art. 426 Abs. 2 StPO). Nach der Rechtsprechung sind der beschuldigten Person, die bei mehreren an- geklagten Straftaten nur teilweise schuldig gesprochen, im Übrigen aber freige- sprochen wird, die Verfahrenskosten nur anteilmässig aufzuerlegen. Dies gilt je- denfalls, soweit sich die verschiedenen Anklagekomplexe klar auseinanderhalten lassen. Die anteilmässig auf die mit einem Freispruch endenden Anklagepunkte entfallenden Kosten verbleiben gestützt auf Art. 423 StPO i.V. m. Art. 426 Abs. 2 StPO beim Staat. Vollumfänglich kostenpflichtig werden kann die beschuldigte Person bei einem teilweisen Schuldspruch nur, wenn die ihr zur Last gelegten Handlungen in einem engen und direkten Zusammenhang stehen und alle Unter- suchungshandlungen hinsichtlich jedes Anklagepunktes notwendig waren. Bei ei- nem einheitlichen Sachverhaltskomplex ist vom Grundsatz der vollständigen Kos- tenauflage nur abzuweichen, wenn die Strafuntersuchung im freisprechenden Punkt zu Mehrkosten geführt hat (Urteile des Bundesgerichts 6B_115/2019 vom 15. Mai 2019 E. 4.3; 6B_151/2014 vom 4. Dezember 2014 E. 3.2 und 6B_574/2012 vom 28. Mai 2013 E. 2.3; DOMEISEN, BSK StPO, N 6 zu Art. 426 StPO). Wird die beschuldigte Person ganz oder teilweise freigesprochen oder wird das Verfahren gegen sie eingestellt, so hat sie gemäss Art. 429 Abs. 1 lit. a StPO An- spruch auf Entschädigung ihrer Aufwendungen für die angemessene Ausübung ihrer Verfahrensrechte. Grundsätzlich hat der Staat die Gesamtheit der Verteidi- gungskosten zu entschädigen. Art. 429 Abs. 1 lit. a StPO verlangt, dass sich so- wohl der Beizug eines Verteidigers als auch der von diesem betriebene Aufwand als angemessen erweisen (BGE 142 IV 163 E. 3.2.1; 138 IV 197 E. 2.3.4). Der Kostenentscheid präjudiziert die Entschädigungsfrage. Bei Auferlegung der Kosten ist grundsätzlich keine Entschädigung auszurichten. Umgekehrt hat die beschuldigte Person Anspruch auf Entschädigung, soweit die Kosten von der Staatskasse übernommen werden (BGE 137 IV 352 E. 2.4.2; Urteile des Bundes-</w:t>
      </w:r>
    </w:p>
    <w:p>
      <w:r>
        <w:t>- 47 - gerichts 6B_4/2019 vom 19. Dezember 2019 E. 5.2.6; 6B_561/2019 vom 7. Okto- ber 2019 E. 3.2; je mit Hinweisen).</w:t>
      </w:r>
    </w:p>
    <w:p>
      <w:r>
        <w:rPr>
          <w:b/>
        </w:rPr>
        <w:t>E. 1.3</w:t>
      </w:r>
    </w:p>
    <w:p>
      <w:r>
        <w:t>Die Vorinstanz auferlegte dem Beschuldigten die Kosten der Untersuchung und des erstinstanzlichen Gerichtsverfahrens infolge Verurteilung vollumfänglich unter dem Vorbehalt der Nachforderung der vorerst vom Staat zu übernehmen- den Kosten der amtlichen Verteidigung und der unentgeltlichen Rechtsvertretung des Privatklägers (Urk. 97 S. 58 [Dispositiv-Ziffern 13 und 14]). Das Kostendispo- sitiv der Vorinstanz wurde vom Beschuldigten nur hinsichtlich der Kostenauflage einzig bedingt durch seinen Antrag auf Teilfreispruch bestritten (Urk. 121 S. 2, 30). Zur Erinnerung sei darauf hingewiesen, dass weder die Höhe der Entschädi- gungen der amtlichen Verteidigung noch diejenigen der unentgeltlichen Rechts- vertretungen (Urk. 97 S. 58 [Dispositiv-Ziffern 11 und 12]) angefochten wurden.</w:t>
      </w:r>
    </w:p>
    <w:p>
      <w:r>
        <w:rPr>
          <w:b/>
        </w:rPr>
        <w:t>E. 1.4</w:t>
      </w:r>
    </w:p>
    <w:p>
      <w:r>
        <w:t>Selbst wenn der Anklagepunkt der schweren Körperverletzung, welche die Folge aus dem Raufhandel zwischen den zwei Gruppen um den Beschuldigten und den Privatkläger war, insgesamt einen einheitlichen und zusammenhängen- den Lebenssachverhalt betrifft, rechtfertigt es sich, in Anbetracht des Freispruchs vom klar schwerwiegenderen Vorwurf mit dem weitaus grösseren Untersu- chungsbedarf dem Beschuldigten die Kosten der Untersuchung und des erstin- stanzlichen Gerichtsverfahrens nur zu einem Drittel (und nicht zur Hälfte) aufzuer- legen und zu zwei Dritteln auf die Gerichtskasse zu nehmen. Die Kosten für die amtliche Verteidigung und die unentgeltliche Rechtsvertretung sind zunächst auf die Gerichtskasse zu nehmen. Gestützt auf Art. 135 Abs. 4 StPO hat der Be- schuldigte die Kosten der amtlichen Verteidigung im Umfang von einem Drittel dem Staat zurückzuzahlen, sobald es seine wirtschaftlichen Verhältnisse erlau- ben.</w:t>
      </w:r>
    </w:p>
    <w:p>
      <w:r>
        <w:rPr>
          <w:b/>
        </w:rPr>
        <w:t>E. 1.5</w:t>
      </w:r>
    </w:p>
    <w:p>
      <w:r>
        <w:t>Entsprechend der Kostenverlegung hat der Beschuldigte Anspruch auf den Ersatz seiner bis zur Bewilligung der amtlichen Verteidigung angefallenen Kosten für die erbetene Verteidigung im Umfang von zwei Dritteln. Gestützt auf das mit Rechnung vom 24. Oktober 2019 (Urk. 122/4) geltend gemachte Honorar inklusi- ve Barauslagen und Mehrwertsteuer von Fr. 15'120.65 (wobei 8% MwSt. auf Fr. 2'798.– und 7,7% MwSt. auf Fr. 11'233.80 entfallen) ist dem Beschuldigten ei-</w:t>
      </w:r>
    </w:p>
    <w:p>
      <w:r>
        <w:t>- 48 - ne ausgangsgemäss reduzierte Prozessentschädigung von pauschal Fr. 10'000.– für die erbetene Verteidigung aus der Gerichtskasse zuzusprechen, unter Vorbe- halt des Verrechnungsrechts des Staates. Diese Entschädigung war im an der Fortsetzung der Berufungsverhandlung vom 1. März 2022 eröffneten Urteilsdis- positiv versehentlich noch nicht enthalten (vgl. Urk. 207 Dispositiv-Ziffer 8), was sogleich im Nachgang an die Verhandlung mit gleichentags ergangenen Be- schluss berichtigt wurde (Urk. 209), worauf das berichtigte Urteilsdispositiv (Urk. 210) den Parteien zugestellt wurde. Entsprechend ist im vorliegenden be- gründeten Urteil die vollständige (hinsichtlich Ziffer 8 berichtigte) Fassung des Dispositivs aufzuführen. 2. Kosten- und Entschädigungsfolgen des Berufungsverfahren 2.1.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(Urteile des Bundesgerichts 6B_1344/2019 vom 11. März 2020 E. 2.2; 6B_1040/2016 vom 2. Juni 2017 E. 1.1.1). Für die Kostenauflage gemäss Art. 426 Abs. 1 StPO sind nicht die rechtliche Würdigung und die Anzahl der angeklagten Tatbestände, sondern der zur Anklage gebrachte Lebenssachverhalt massge- bend (Urteile des Bundesgerichts 6B_580/2019 vom 8. August 2019 E. 2.2; 6B_803/2014 vom 15. Januar 2015 E. 3.5). Gemäss Art. 436 Abs. 1 StPO richten sich Ansprüche auf Entschädigung und Ge- nugtuung im Rechtsmittelverfahren nach den Artikeln 429 - 434 StPO. Erfolgt we- der ein vollständiger Freispruch noch eine Einstellung des Verfahrens, obsiegt die beschuldigte Person aber in andern Punkten, so hat sie Anspruch auf eine ange- messene Entschädigung für ihre Aufwendungen (Art. 436 Abs. 2 StPO). Hierunter fallen insbesondere die Kosten für die Verteidigung. 2.2. Die Gerichtsgebühr für das Berufungsverfahrens ist in Anwendung von Art. 424 Abs. 1 StPO i. V. m. §§ 16, 2 Abs. 1 lit. b, c und d sowie 14 GebV OG un- ter Berücksichtigung der Bedeutung und Schwierigkeit des Falles sowie des Zeit-</w:t>
      </w:r>
    </w:p>
    <w:p>
      <w:r>
        <w:t>- 49 - aufwands des Gerichts für dieses Verfahren auf Fr. 8'000.– festzusetzen. Die üb- rigen Kosten bestehen in der Entschädigung an die Sachverständige für die mündliche Erläuterung des schriftlichen Gutachtens vor Schranken im Betrage von Fr. 396.40 (Urk. 156A), den Kosten des Zweitgutachtens des IRM Bern, Prof. Dr. med. D._____, in der Höhe von Fr. 4'004.– (Urk. 176) und den Kosten für die Fotodokumentationen des FOR im Betrage von Fr. 195.– (Urk. 134/1). 2.3. Der Beschuldigte obsiegt mit seinen Anträgen praktisch vollständig, wohin- gegen die Staatsanwaltschaft mit ihren Anträgen unterliegt, ebenso wie der Pri- vatkläger hinsichtlich des Genugtuungsbegehrens. Es rechtfertigt sich angesichts der nicht zu erwartenden bzw. nicht vorhersehbaren Änderung des Beweisfunda- mentes durch die umfangreichen Beweisergänzungen in zweiter Instanz nicht, den Privatkläger an den nicht in erster Linie durch seine Anträge verursachten zweitinstanzlichen Kosten zu beteiligen. Es sind daher die Kosten des Berufungs- verfahrens infolge Unterliegens der Staatsanwaltschaft auf die Staatskasse zu nehmen wobei die Kosten für die amtliche Verteidigung und die unentgeltliche Rechtsvertretung definitiv auf die Gerichtskasse zu nehmen sind. 2.4. Der amtliche Verteidiger ist aus der Gerichtskasse zu entschädigen (Art. 135 Abs. 1 StPO). Er beziffert seinen anwaltlichen Aufwand ohne die aktuelle Beru- fungsverhandlung gemäss Honorarnote vom 23. Februar 2022 auf Fr. 20'157.20 (Urk. 202; inkl. Auslagen und MwSt.). Der Aufwand erscheint angemessen und ist von der Anwaltsgebührenverordnung gedeckt. Unter zusätzlicher Berücksichti- gung des Zeitaufwands für die Berufungsverhandlung vom 1. März 2022 samt An- reise ist Rechtsanwalt lic. iur. X._____ als amtlicher Verteidiger zusätzlich zur be- reits ausgerichteten Akontozahlung von Fr. 8'000.– (Urk. 173) mit Fr. 13'000.– (Entschädigung gesamthaft mithin pauschal Fr. 21'000.–, inkl. Auslagen und MwSt.) aus der Gerichtskasse zu entschädigen. Der unentgeltliche Vertreter des Privatklägers ist ebenfalls aus der Gerichtskasse zu entschädigen (Art. 138 Abs. 1 StPO i.V.m. Art. 135 Abs. 1 StPO). Er beantragt für das Berufungsverfahren mit Honorarnote vom 28. Februar 2022 die Ausrich- tung einer Entschädigung von Fr. 14'642.50 (inkl. MwSt. und Barauslagen) für den von ihm erbrachten Aufwand (Urk. 205). Der geltend gemachte Aufwand so-</w:t>
      </w:r>
    </w:p>
    <w:p>
      <w:r>
        <w:t>- 50 - wie der geltend gemachte Stundenansatz erscheinen angemessen. Rechtsanwalt MLaw Y1._____ ist demnach mit gerundet Fr. 14'650.– (inkl. MwSt.) aus der Ge- richtskasse zu entschädigen. Es wird beschlossen:</w:t>
      </w:r>
    </w:p>
    <w:p>
      <w:r>
        <w:rPr>
          <w:b/>
        </w:rPr>
        <w:t>E. 6</w:t>
      </w:r>
    </w:p>
    <w:p>
      <w:r>
        <w:t>Tatort und Tathandlung</w:t>
      </w:r>
    </w:p>
    <w:p>
      <w:r>
        <w:rPr>
          <w:b/>
        </w:rPr>
        <w:t>E. 6.1</w:t>
      </w:r>
    </w:p>
    <w:p>
      <w:r>
        <w:t>Hinsichtlich der persönlichen Verhältnisse und des Vorlebens des Beschul- digten kann auf die zutreffenden Ausführungen der Vorinstanz verwiesen werden (Urk. 97 S. 34 f.; Art. 82 Abs. 4 StPO). Der Beschuldigte führte zu seinen aktuel- len persönlichen Verhältnissen anlässlich der Berufungsverhandlung vom 1. März 2022 aus, dass er von Mitte bis Ende 2021 bei der Firma "K._____" im Sicher-</w:t>
      </w:r>
    </w:p>
    <w:p>
      <w:r>
        <w:t>- 37 - heitsdienst für …zu einem Stundenlohn von Fr. 25.– (netto Fr. 22.90) ohne schrift- lichen Arbeitsvertrag und unregelmässig arbeitete, je nach Besetzung der von ihm gesicherten … (Urk. 200 S. 1; Prot. II S. 114 f.). Gemäss Angaben in der Eingabe vom 17. Februar 2022 hat er in der Zeit von Juli 2021 bis Januar 2022 einen durchschnittlichen Monatslohn von Fr. 2'573.75 ausbezahlt erhalten (Urk. 200 S. 2), was sodann weitestgehend durch die eingereichten Gutschriftenanzeigen (Urk. 201/2-7) belegt ist. Seit Einstellung des Betriebs der Firma "K._____" per Ende 2021 arbeitet der Beschuldigte bei der neu gegründeten Firma "L._____" desselben Inhabers zu den gleichen Bedingungen (Prot. II S. 115, 117; Urk. 200 S. 2). Der Beschuldigte zahlt seinem Vater, bei dem er noch immer wohnt, die Hälfte des Mietzinses von Fr. 2'200.–. Die Krankenkassenprämie beträgt Fr. 459.75 und die Steuern belaufen sich auf ca. Fr. 200.– pro Monat. Der Be- schuldigte verfügt über kein Vermögen, hingegen hat er Schulden in der Höhe von Fr. 87'583.45 (Urk. 200 S. 2 f.; Urk. 201/9; Prot. II S. 115). Aus seiner Biogra- phie ergibt sich zwar, dass er in seiner Jugendzeit gewisse Probleme im Eltern- haus und mit Suchtmitteln hatte. Diese vermögen die vorliegende Tat jedoch nicht zu erklären. Insgesamt ergeben sich aus den persönlichen Verhältnissen des Be- schuldigten keine strafzumessungsrelevanten Umstände.</w:t>
      </w:r>
    </w:p>
    <w:p>
      <w:r>
        <w:rPr>
          <w:b/>
        </w:rPr>
        <w:t>E. 6.2</w:t>
      </w:r>
    </w:p>
    <w:p>
      <w:r>
        <w:t>Indessen weist der Beschuldigten drei Vorstrafen auf. Mit Strafbefehl der Staatsanwaltschaft Zürich-Sihl vom 20. August 2012 wurde der Beschuldigte we- gen Vergehens gegen das Waffengesetz mit 10 Tagessätzen Geldstrafe zu Fr. 30.– bestraft. Die gleiche Staatsanwaltschaft verurteilte ihn am 14. April 2015 erneut wegen Vergehens gegen das Waffengesetz mit einer Geldstrafe, dieses Mal zu 20 Tagessätzen à Fr. 20.– und mit Strafbefehl der Staatsanwaltschaft Limmattal/Albis vom 26. Juli 2017 wurde er wegen Fahrens in fahrunfähigem Zu- stand und Übertretung des Betäubungsmittelgesetzes zu einer bedingt vollziehba- ren Geldstrafe von 60 Tagessätzen zu Fr. 80.– bei einer Probezeit von 3 Jahren und Fr. 1'200.– Busse bestraft (Urk. 189). Diese Vorstrafen, insbesondere die letzte, welche nicht mehr im absoluten Bagatellbereich liegt, wirken sich strafer- höhend aus. Das gilt ebenfalls für den Umstand, dass der Beschuldigte die vorlie- gend Tat während noch laufender Probezeit beging. Auf der anderen Seite ist dem Beschuldigten zugute zu halten, dass er seine Tatbeteiligung und seinen</w:t>
      </w:r>
    </w:p>
    <w:p>
      <w:r>
        <w:t>- 38 - Tatbeitrag von Anfang an zugab und mit den übrigen Beteiligten am Tatort blieb und sich später auch beim Privatkläger entschuldigte (Prot. II S. 29), auch wenn er – aus heutiger Sicht zu Recht – die Verantwortung für die Kopfverletzung nicht übernehmen mochte (Prot. II S. 30, 47). Seine Reue und seine Entschuldigung erscheinen aufrichtig und sein Nachtatverhalten zeugt von Verantwortungsbe- wusstsein. Das wirkt sich – neben seinem Geständnis – ebenfalls strafmindernd aus.</w:t>
      </w:r>
    </w:p>
    <w:p>
      <w:r>
        <w:rPr>
          <w:b/>
        </w:rPr>
        <w:t>E. 6.3</w:t>
      </w:r>
    </w:p>
    <w:p>
      <w:r>
        <w:t>Der Anklagevorwurf und namentlich die erstinstanzliche Verurteilung wegen vollendeter schwerer Körperverletzung und die zu vollziehende Sanktion haben sich auf die berufliche Zukunft des Beschuldigten ausgewirkt und seine persönli- che Lebenssituation jedenfalls nicht erleichtert, was aber zumindest teilweise nicht zu vermeiden gewesen ist. Die anhand der Umstände des vorliegenden Fal- les insgesamt lange erscheinende Verfahrensdauer mit einem schwerwiegendem Vorwurf rechtfertigt aber dennoch eine Strafminderung. Die hypothetische Ein- satzstrafe ist daher um einen Viertel auf 90 Tagessätze zu mindern. 7. Anrechnung erstandene Haft Keiner weiteren Erläuterung bedarf, dass dem Beschuldigten mit der Vorinstanz die erstandenen 37 Tage Haft in Anwendung von Art. 51 StGB an die ausgefällte Strafe anzurechnen sind (Urk. 97 S. 36).</w:t>
      </w:r>
    </w:p>
    <w:p>
      <w:r>
        <w:rPr>
          <w:b/>
        </w:rPr>
        <w:t>E. 7</w:t>
      </w:r>
    </w:p>
    <w:p>
      <w:r>
        <w:t>Ursache der lebensgefährlichen Kopfverletzung des Privatklägers</w:t>
      </w:r>
    </w:p>
    <w:p>
      <w:r>
        <w:rPr>
          <w:b/>
        </w:rPr>
        <w:t>E. 7.1</w:t>
      </w:r>
    </w:p>
    <w:p>
      <w:r>
        <w:t>Gemäss Gutachten des IRMZ vom 9. Januar 2018 seien alle Verletzungen am Hinterkopf Folgen stumpfer und tangential-schürfender Gewalteinwirkung und hinsichtlich ihres Entstehungszeitraums mit dem Tatzeitpunkt vereinbar. Die nach innen verschobenen Bruchstücke des Hinterhauptbeins rechts stellten die Stelle</w:t>
      </w:r>
    </w:p>
    <w:p>
      <w:r>
        <w:t>- 25 - der direkten Gewalteinwirkung bzw. des Hauptimpacts (hauptsächliche Gewalt- einwirkung; Coup- bzw. Stoss-Verletzung) dar. Die kleinen Blutungen im Stirnhirn- lappen links seien dabei vereinbar mit einer sog. Contre-Coup-Verletzung (Ge- genstoss-Verletzung; Urk. 12/4 S. 7). Das Gutachten hält weiter fest, dass es sich bei Impressionsbrüchen nicht um eine Folge eines Sturzes in einem ebenen Raum, sondern vielmehr um eine sehr kräftige umschriebenen Gewalteinwirkung wie nach einem Schlag mit einem Gegenstand handle. Obwohl ein Sturz mit Auf- prall des Hinterkopfes auf eine hervorstehende Struktur, z.B. einen Stein, im vor- liegenden Fall zwar möglich und nicht auszuschliessen sei, passten die in der Bildgebung (CT) gemessenen Dimensionen des Bruches sehr gut zu den Massen des Kantholzes (Höhe und Breite jeweils ca. 4 cm, Diagonale des Querschnitts ca. 5,7 cm), so dass aus rechtsmedizinischer Sicht im vorliegenden Fall als Ver- letzungsursache ein Schlag mit dem Kantholz im Vordergrund stehe (Urk. 12/4 S. 7 f.).</w:t>
      </w:r>
    </w:p>
    <w:p>
      <w:r>
        <w:rPr>
          <w:b/>
        </w:rPr>
        <w:t>E. 7.2</w:t>
      </w:r>
    </w:p>
    <w:p>
      <w:r>
        <w:t>Die Gutachterin Dr. med. C._____ erläuterte als Sachverständige dieses von ihr zu verantwortende Gutachten des IRMZ vom 9. Januar 2018 (Urk. 12/4) auf Anordnung des Gerichts mündlich im Rahmen der Fortsetzung der Berufungsver- handlung (Urk. 123; Prot. II S. 65 ff.). Obwohl die Gutachterin das asservierte Ori- ginal-Kantholz (in zwei Teilen) bislang nie direkt gesehen und auch nie in den Händen gehalten hatte (Prot. II S. 71), bejahte sie in der Berufungsverhandlung vom 24. März 2021 die entsprechende Frage, dass das Kantholz hart und schwer genug sei, um damit jemandem den Schädel einzuschlagen (Prot. II S. 70 f.). Nachdem ihr das Kantholz in der Verhandlung in die Hand gegeben worden war, erklärte sie, sie bleibe bei ihrer Einschätzung (Prot. II S. 71). Die Gutachterin führ- te zusammengefasst im Wesentlichen aus, es liege eine Stossverletzung am Hin- terkopf rechts und eine Gegenstossverletzung am linken Stirnlappen vor, welche grundsätzlich typische Verletzungen für Stürze seien, da für solche Verletzungen eine enorme Krafteinwirkung notwendig sei. Nichtsdestotrotz sei dies angesichts der Lokalisation vor allem der Fraktur unterhalb der prominenten Knochenvorwöl- bung im Bereich der Mitte der Aussenfläche des Hinterkopfes sowie aufgrund der Form und der Dimensionen der Impressionsfraktur aus ihrer Sicht nicht typisch für eine sturzbedingte Genese. Es läge eine kräftig umschriebene Einwirkung vor,</w:t>
      </w:r>
    </w:p>
    <w:p>
      <w:r>
        <w:t>- 26 - wobei als Ursache für diese Verletzung für sie auch heute noch eine Einwirkung mit einem Gegenstand – auch mit einem Gegenstand wie dem vorliegenden Kantholz – im Vordergrund stehe (Prot. II S. 75). Der vermeintliche Schlag mit dem Kantholz gegen den Hinterkopf sei für sie aufgrund der Lokalisation der Ver- letzung am ehesten bei einer Körperhaltung des Privatklägers in einer gebückten Haltung mit nach vorne gebogenem Nacken entstanden, wobei der Schlag am ehesten von vorne gekommen sein dürfte (Prot. II S. 75). Auf Nachfrage, ob die Ausführungen richtig verstanden wurden, bekräftigte die Sachverständige, dass das Verletzungsbild nicht zu einem Schlag von einer Person passe, die hinter dem Privatkläger gestanden sei und ihres Erachtens der Schlag von vorne über den Kopf hinweg erfolgt sein müsse (Prot. II S. 76). Auf Ersuchen des Gerichts demonstrierte die Sachverständige mittels dem von ihr anhand der Akten nachge- fertigten Kantholz und unter Mithilfe der Weibelin, wie der Schlag ihrer Ansicht nach erfolgt sein müsse, was mittels Fotos festgehalten wurde (Prot. II S. 76 ff.; Urk. 156/1-2). Die Sachverständige erläuterte weiter, dass es ein Stoss, ähnlich eines Billard-Stosses, mit dem flachen Ende des Kantholzes gegen den Kopf ge- wesen sein müsste, wenn der Täter von hinten gekommen wäre (Prot. II S. 77, 85; Urk. 156/3-4). Auf die Frage, wie es bei einem Sturz auf das am Boden lie- gende Kantholz aussehe, sagte die Sachverständige aus, das passe bei diesem Kantholz auch nicht, da man auch hier an einer anderen Stelle mit dem Kopf auf- schlagen würde als an jener, an der die Verletzung beim Privatkläger festgestellt worden sei (Prot. II S. 78). Sie verneint auf Nachfrage ausdrücklich, dass die beim Privatkläger festgestellte Kopfverletzung mit einem Aufprall mit dem Hinterkopf auf das am Boden liegende Kantholz vereinbar sei (Prot. II S. 81, 82). Die Gut- achterin erläutert auf Nachfrage die "Hutkrempenregel" (Prot. II S. 80) und bestä- tigt, dass ein Sturz in der Regel Contre-Coup-Verletzungen am Kopf verursachen könne und dass es richtig sei, dass Verletzungen unter der Hutkrempenlinie auf Sturzverletzungen im ebenen Raum hindeuteten (Prot. II S. 86 f.). Auf den vorlie- genden Fall träfen die beiden Regeln nicht zu, weil erstens ein Sturz auf den Hin- terkopf keine solch geformten Verletzungen verursache und schon gar nicht, wenn der Sturz in einem ebenen Raum bzw. auf eine ebene Oberfläche erfolge, und zweitens träten Coup- / Contre-Coup-Verletzungen wie gesagt vor allem bei</w:t>
      </w:r>
    </w:p>
    <w:p>
      <w:r>
        <w:t>- 27 - Stürzen auf den Kopf auf. Solche Verletzungen seien aber auch möglich bei ei- nem Schlag mit einem Gegenstand gegen den Kopf. Es gelte diesbezüglich auch hier: Die vorliegende Fraktur, der Impressionsbruch, passe aufgrund der Form/Art dieser Verletzung nicht zu einem Sturz (Prot. II S. 87).</w:t>
      </w:r>
    </w:p>
    <w:p>
      <w:r>
        <w:rPr>
          <w:b/>
        </w:rPr>
        <w:t>E. 7.3</w:t>
      </w:r>
    </w:p>
    <w:p>
      <w:r>
        <w:t>Die Ausführungen der Gutachterin vor Schranken zur Unvereinbarkeit der Kopfverletzungen des Privatklägers mit einem Sturz und der Unmassgeblichkeit der Hutkrempenregel im vorliegenden Fall vermögen angesichts der Position des Impressionsbruchs nicht zu überzeugen. Zudem ergibt sich ein unauflöslicher Wi- derspruch zwischen dem Ergebnis der mündlichen Ergänzung bzw. Erläuterung des Gutachtens des IRMZ anlässlich der mündlichen Berufungsverhandlung vom 24. März 2021 durch die Sachverständige Dr. med. C._____, welche eine Verlet- zung durch den Schlag mit dem Vierkantholz von vorne bei vornüber gebeugter Haltung des Opfers als Verletzungsursache bezeichnete, und dem übrigen Be- weisergebnis, wonach der Schlag mit dem Vierkantholz von hinten bei aufrechter Haltung des Opfers, das in einen Faustkampf von vorne verwickelt war, erfolgte. Die Ausführungen und die entsprechende Demonstration vor Schranken über- zeugen schon deshalb nicht, weil die dabei gezeigte Haltung des Opfers jeglicher Lebenserfahrung widerspricht, da beweismässig erstellt ist, dass sich das Opfer in einem Faustkampf mit H._____ befand und eine solch vornübergebeugte Haltung in einem dynamischen Geschehen keinerlei Sinn ergibt, abgesehen davon, dass dies auch von keinem Beteiligten beschrieben wird, auch von der Augenzeugin nicht. Unüberwindbare Zweifel an der Schlüssigkeit des Gutachtens drängen sich jedoch angesichts der von der Sachverständigen als einzig möglich dargestellten Tathandlung mittels eines Schlages von vorne bei nach vorne gebeugter Haltung des Opfers auf, was sämtlichen übereinstimmenden Aussagen der Tatbeteiligten und der Augenzeugin widerspricht, wonach der Schlag mit dem Vierkantholz von hinten gegen den Kopf des aufrecht stehenden Privatklägers erfolgte. Auf die Er- kenntnisse des Gutachtens des IRMZ und der mündlichen Erläuterung zu den Ur- sachen der Kopfverletzung des Privatklägers kann daher nicht abgestellt werden.</w:t>
      </w:r>
    </w:p>
    <w:p>
      <w:r>
        <w:rPr>
          <w:b/>
        </w:rPr>
        <w:t>E. 7.4</w:t>
      </w:r>
    </w:p>
    <w:p>
      <w:r>
        <w:t>Dagegen erweist sich das Zweitgutachten von Prof. Dr. med. D._____, dem … [Funktion] des Instituts für Rechtsmedizin der Universität Bern (kurz: IRMB),</w:t>
      </w:r>
    </w:p>
    <w:p>
      <w:r>
        <w:t>- 28 - vom 21. Juni 2021 (Urk. 174) als nachvollziehbar, vollständig und schlüssig. Der Gutachter verneint aus rechtsmedizinischer Sicht die Vereinbarkeit der Entste- hung des beim Privatkläger festgestellten Impressionsbruchs an der Schädelbasis am Hinterhauptbein mit einem Schlag des bei den Akten liegenden Vierkanthol- zes (im unzerbrochenen Zustand) von hinten gegen den Kopf des Opfers klar. Er begründet dies zusammengefasst insbesondere damit, dass sich die Impressions- fraktur tief in den Strukturen des Übergangs vom Kopf auf den Hals befinde und diese Region bei einem in Längsausrichtung zum erhobenen Kopf geführten Schlag von hinten mit einem länglich gestalteten Schlagwerkzeug einerseits durch den Hinterkopf wie auch den oberen Rücken geschützt sei. Ein Schlag mit dem unzerbrochenen Vierkantholz von hinten gegen den Kopf des Opfers liesse eine Verletzung deutlich weiter oben am (Hinter-)Kopf erwarten (Urk. 174 S. 3). Dar- über hinaus, so der Gutachter weiter, erscheine das gegenständliche Vierkantholz als Schlaginstrument nur mässig geeignet, um einen derartigen Impressionsbruch überhaupt erzeugen zu können. Unter dem Hinweis, dass die Fähigkeit von Schlagwerkzeugen, Energie in das Schlagziel zu übertragen, von der Lage ihres Masseschwerpunktes abhänge und die angeführten Angaben voraussetzten, dass das Schlaginstrument beim Auftreffen auf das Ziel intakt bleibe und seine Energie gesamthaft ins Ziel bringe, stellt der Gutachter fest, dass sich das gegen- ständliche Vierkantholz nicht mehr als Erklärung für die Impressionsfraktur im Sinne der Folge eines Schlages damit in Anspruch nehmen lasse, da es während der fraglichen Energieübertragung selbst zu Bruch gegangen sei. In Anlehnung an das Hooke'sche Gesetz und unter dem Hinweis darauf, dass das Vierkantholz im vorliegenden Fall mit der den gesamten Durchmesser durchgreifenden Boh- rung zusätzlich eine "Sollbruchstelle" gehabt habe, durch welche seine Bruch- schwelle nochmal erheblich verringert worden sei, hält der Gutachter fest, dass die hintere Schädelgrube zu den widerstandsfähigsten knöchernen Strukturen zähle, die man am Schädel finden könne (Urk. 174 S. 3 f.). Unter der Annahme, dass sowohl der Impressionsbruch als auch die Einblutungen ins Hirngewebe des Kleinhirns rechts, des Grosshirns in der hinteren Schädelgrube rechts und am Hirn vorne medial und basal links im Rahmen einer einzigen Einwirkung entstan- den seien, komme ein Schlag mit dem eher leichten und vor allem auch leicht zu</w:t>
      </w:r>
    </w:p>
    <w:p>
      <w:r>
        <w:t>- 29 - brechenden Vierkantholz nicht in Frage. Insbesondere die Contre-Coup- Blutungen am Hirn vorne liessen sich nicht mit einem solchen Schlag auf den Hin- terkopf erklären. Contre-Coup-Blutungen entstünden nur dann, wenn der Kopf ei- ner erheblichen Beschleunigung bzw. Verzögerung ausgesetzt werde. Derartige Beschleunigungen seien innerhalb des Schädels bei einfachen Schlägen auch mit einem leichten Schlagwerkzeug nicht zu erwarten. Derartige Verzögerungen sehe man praktisch nur beim Sturz mit ungebremstem Kopfanprall auf nicht nachge- bendem Widerlager, weswegen Coup-Contre-Coup Befundkonstellationen patho- gnomonisch für den Sturz auf den Kopf seien und daher häufig bei Stürzen in der Reaktionsfähigkeit beeinträchtigter Personen bspw. aufgrund einer Benommen- heit oder einer starken Alkoholisierung gefunden werden könnten (Urk. 174 S. 4). Der Gutachter verneint sodann klar, dass die Kopfverletzung mit einem Schlag des Vierkantholzes von vorne vereinbar sei, mit der Begründung, es liege keine Erklärung dafür vor und eine Erklärung, warum sowohl das Vierkantholz als auch der Schädel gebrochen sein sollen, sei auch aus den Akten nicht ersichtlich (Urk. 174 S. 5). Des Weiteren hält der Gutachter fest, dass die (sc. auf den Kopf) übertragene Energie erheblich gewesen sein müsse, damit es überhaupt zu die- sem Frakturbild habe kommen können. Wenn man die Gesamtheit der am Kopf des Geschädigten dokumentierten Verletzungen mit einer einzigen Einwirkung er- klären möchte, komme nur ein Sturz mit dem Hinterkopf rechts auf eine entspre- chend der Impressionsfraktur geformte Struktur in Betracht. Am Boden liegend könne das vorgelegte Vierkantholz als nicht nachgebendes Widerlager im Rah- men eines Sturzes darauf die für das Verletzungsbild nötige Wirkung entfalten. Auch die Dimensionen von ca. 4 x 4 cm seien mit dem Befundbild der nicht sehr tiefen Impression gut in Einklang zu bringen (Urk. 174 S. 5 unten). Schliesslich hält der Gutachter fest, dass ein Sturz auf das im Sinne der Frage 2 ausgerichtete Ende eines der beiden Bruchstücke des Vierkantholzes das gesamte Verlet- zungsbild am Kopf des Geschädigten erklären könne. Sodann bestätigt er, dass die Lokalisation des Impressionsbruchs tief unten am Hinterkopf für eine Sturzver- letzung spreche und dies auch zutreffe unter der Anwendung der Hutkrempenre- gel (Urk. 174 S. 7). Der Gutachter erläutert, dass die Hutkrempenregel immer dann nicht anwendbar sei, wenn es um Sturzereignisse gehe, bei denen im Rah-</w:t>
      </w:r>
    </w:p>
    <w:p>
      <w:r>
        <w:t>- 30 - men eines Sturzes auch Verletzungen oberhalb der Hutkrempe möglich seien. Dabei werde vor allem an Treppenstürze oder Stürze gegen andere Strukturen z.B. Heizkörper, Geländer, etc. gedacht. Die Einschränkung der Anwendbarkeit beziehe sich also vor allem auf die Gefahr, eine oberhalb der Hutkrempe befindli- che Verletzung fälschlicherweise als Schlagverletzung zu interpretieren. Dass spezifische, also nicht von oben, sondern vor allem von seitlich geführte Schläge auch Regionen unterhalb der Hutkrempenlinie treffen können, sei immer in Erwä- gung zu behalten und müsse bei der Anwendung der Hutkrempenregel entspre- chend auch immer berücksichtigt werden (Urk. 174 S. 8). Schliesslich weist der Gutachter darauf hin, dass man eine erhebliche Energieübertragung in diese tiefe Nackenregion einhergehend mit einer massiven Beschleunigung des Kopfes (vergleichbar der Verzögerung beim ungebremsten Sturz auf den Kopf) voraus- setzen müsste, wenn man die Gesamtheit des vorliegenden Verletzungsbildes als Folge eines irgendwie gearteten Schlages "konstruieren" würde. Der diese Ener- gieübertragung auslösende Gegenstand müsste erheblich schwerer sein als der Kopf selbst, damit die Energie vor allem zu einer Beschleunigung des Kopfes und weniger zu einer Verzögerung des Gegenstandes führe. Als gleichzeitige Aus- nahme von den klassischen zwei Regeln (Hutkrempen und Contre-Coup Verlet- zung) kämen beispielsweise folgende Fallumstände in Betracht: Felssturz im Ge- lände, bei dem ein grosser Stein den Nacken trifft und Arbeitsunfälle, bei denen schwere Strukturen den Nacken treffen sowie Anfahrunfälle von Fussgängern z.B. mit Motorrädern, bei denen vorstehende Strukturen des Töffs die Nackenregion treffen (Urk. 174 S. 8 f.). Abschliessend wird festgehalten, dass das in den Akten dokumentierte Verletzungsbild aus rechtsmedizinischer Sicht die Beantwortung der gestellten Fragen ohne weitere Untersuchungen einzuleiten erlaube (Urk. 174 S. 10).</w:t>
      </w:r>
    </w:p>
    <w:p>
      <w:r>
        <w:rPr>
          <w:b/>
        </w:rPr>
        <w:t>E. 7.5</w:t>
      </w:r>
    </w:p>
    <w:p>
      <w:r>
        <w:t>Die gutachterlichen Feststellungen überzeugen zum einen, weil der Sach- verständige im Gegensatz zur Gutachterin des IRMZ sowohl Form/Art und Be- schaffenheit des verwendeten Vierkantholzes in seine Expertise einbezog und nachvollziehbar erläuterte, weshalb die festgestellte Kopfverletzung des Privat- klägers nicht mit einem Schlag mit dem asservierten (unzerbrochenen) Vierkant- holz vereinbar ist. Es ist denn auch nicht einzusehen, wie das vom Gericht eben-</w:t>
      </w:r>
    </w:p>
    <w:p>
      <w:r>
        <w:t>- 31 - falls als leicht (und keineswegs massiv) beurteilte Vierkantholz zwar beim Schlag zerbrochen sein soll und dennoch gleichzeitig eine derart massive Verletzung mit sichtbaren Bruchkanten verursacht haben soll. Zum anderen überzeugt das Zweitgutachten auch deshalb, weil es mit dem übrigen Beweisergebnis ohne wei- teres in Einklang zu bringen ist. So steht fest, dass der Schlag von hinten und von oben gegen den Privatkläger geführt wurde, so dass eine Lokalisation der Verlet- zung im Übergang vom Kopf zum Hals schwer vorstellbar ist, da entweder der Hinterkopf oder der Rücken diesen Bereich schützt. Auch scheidet aufgrund der Aussagen der Augenzeugin, die sich mit jenen der Beteiligten deckt, ein Stoss von unten gegen den Kopf als Ursache aus und würde ein solcher Stoss auch das Zerbrechen des Vierkantholzes weniger gut erklären. Schliesslich deckt sich die vom Gutachter als vereinbar mit dem Verletzungsbild festgehaltene Ursache des Sturzes auf den abgebrochenen Teil des Vierkantholzes mit den Aussagen sämt- licher an der Auseinandersetzung Beteiligter, dass der Privatkläger erst nach dem Schlag mit dem Vierkantholz aufgrund eines Faustschlages von H._____ in sein Gesicht sogleich zu Boden fiel (Urk. 6/3 S. 2, Urk. 10/1 S. 14 f. [H._____]; Urk. 7/2 S. 4, Urk. 10/1 S. 15 ff. [I._____]; vorne Ziff. II.2.1 [Beschuldigter]). Daran vermag entgegen dem Privatkläger auch nichts zu ändern, dass die Zeugin davon spricht, er sei nach dem Schlag mit dem Holz "eingesackt" resp. "zusammen gesackt" (Prot. II S. 59), denn die Zeugin sagte von Anfang an hinsichtlich des Ablaufs konstant aus, dass der Privatkläger zusammen gesackt und danach (Hervorhe- bung hinzugefügt) zu Boden gefallen sei (Urk. 11/1 S. 1; Urk. 11/2 S. 3). Ausser- dem gab sie an, der Privatkläger habe nach dem Schlag mit dem Holz noch einen Ton bzw. einen Schrei von sich gegeben (Urk. 11/1 S. 1; Urk. 11/2 S. 3; Prot. II S. 59) und sei erst danach zu Boden gefallen, was ebenfalls dafür spricht, dass der Privatkläger nicht unmittelbar als Folge des Schlages bzw. eben nicht auf- grund des Schlages (in den Worten des Privatklägers) mit dem Vierkantholz zu Boden fiel. Die Darstellung des Privatklägers, wonach die Zeugin gesagt habe, der Privatkläger sei aufgrund des Schlages mit dem Kantholz und nicht wegen dem Faustschlag von vorne durch H._____ zusammengesackt und umgefallen (Urk. 199 S. 2), trifft so nicht zu. Im ganzen Verfahren machte die Zeugin diesbe- züglich eine einzige Aussage und zwar auf die Frage, ob sie gesehen habe, wa-</w:t>
      </w:r>
    </w:p>
    <w:p>
      <w:r>
        <w:t>- 32 - rum das Opfer zusammengesackt sei. Sie antwortete: "Ich habe das Gefühl durch den Schlag von hinten mit der Holzlatte" (Urk. 11/2 S. 6 F/A 37). Nun versteht sich von selbst, dass eine solche gefühlsmässige Einschätzung der Zusammenhänge durch eine nicht sachverständige Zeugin nicht zum Beweis für Ursache und Folge taugen kann, zumal die Zeugin hinsichtlich der konkreten tatsächlichen Abläufe detaillierte Angaben durch die Schilderung in eigenen Worten machte, welche frei zu würdigen sind.</w:t>
      </w:r>
    </w:p>
    <w:p>
      <w:r>
        <w:rPr>
          <w:b/>
        </w:rPr>
        <w:t>E. 7.6</w:t>
      </w:r>
    </w:p>
    <w:p>
      <w:r>
        <w:t>Gestützt auf die übereinstimmenden Aussagen der Beteiligten und der Zeu- gin J._____ sowie aufgrund der Erkenntnisse aus dem Zweitgutachten des IRMB ist in tatsächlicher Hinsicht festzustellen, dass der Beschuldigte das asservierte, noch unzerbrochene, Vierkantholz mit Schwung von oben nach unten gegen den Hinterkopf des aufrecht vor ihm stehenden grösseren Privatklägers schlug, der im Rahmen der wechselseitigen tätlichen Auseinandersetzung mit H._____ in einen Faustkampf verwickelt war und den Angriff von hinten nicht sah (siehe vorne Ziffer II.1.1). Durch diesen Schlag zerbrach das Vierkantholz im Bereich des mittigen Bohrloches in zwei Hälften und die lose Hälfte fiel zu Boden. Infolge eines Faust- schlages von vorne stürzte der Privatkläger ungebremst auf das nunmehr am Bo- den liegende Teil des Vierkantholzes, wodurch die vom IRMZ und dem Universi- tätsspital Zürich dokumentierte und unbestrittene Impressionsfraktur am Hinter- kopf des Privatklägers mit den Bruchlinien verursacht wurde, deren Ausmessun- gen mit den Dimensionen des Vierkantholzes übereinstimmen. Entgegen der An- sicht des Privatklägers und den Aussagen des Beschuldigten ist ohne unüber- windliche Zweifel erstellt, dass der Beschuldigte den Schlag mit dem Vierkantholz gegen den Kopf und nicht gegen den Rücken geführt hatte.</w:t>
      </w:r>
    </w:p>
    <w:p>
      <w:r>
        <w:rPr>
          <w:b/>
        </w:rPr>
        <w:t>E. 8</w:t>
      </w:r>
    </w:p>
    <w:p>
      <w:r>
        <w:t>Fazit Angesichts der finanziellen Verhältnisse des Beschuldigten (siehe vorstehend Zif- fer III.6.1.) ist der Tagessatz für die Geldstrafe nach den von der Vorinstanz zu- treffend ausgeführten Regeln (Urk. 48 S. 38 f.) auf Fr. 30.– festzusetzen. Entsprechend ist der Beschuldigte mit 90 Tagessätzen Geldstrafe zu Fr. 30.– zu bestrafen, unter Anrechnung von 37 Tagen erstandener Haft.</w:t>
      </w:r>
    </w:p>
    <w:p>
      <w:r>
        <w:t>- 39 - IV. Strafvollzug und Widerruf 1. Strafvollzug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