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SB190435 vom 3. Februar 2020</w:t>
      </w:r>
    </w:p>
    <w:p>
      <w:r>
        <w:t>ZH Obergericht, 2020-02-03, DE</w:t>
      </w:r>
    </w:p>
    <w:p>
      <w:r>
        <w:rPr>
          <w:b/>
        </w:rPr>
        <w:t xml:space="preserve">Quelle: </w:t>
      </w:r>
      <w:r>
        <w:t>https://mcp.opencaselaw.ch/entscheid/zh_obergericht_SB190435</w:t>
      </w:r>
    </w:p>
    <w:p>
      <w:r>
        <w:t>FR: ZH_OBERGERICHT SB190435 du 3 février 2020</w:t>
      </w:r>
    </w:p>
    <w:p>
      <w:r>
        <w:t>IT: ZH_OBERGERICHT SB190435 del 3 febbraio 2020</w:t>
      </w:r>
    </w:p>
    <w:p>
      <w:pPr>
        <w:pStyle w:val="Heading2"/>
      </w:pPr>
      <w:r>
        <w:t>Erwägungen</w:t>
      </w:r>
    </w:p>
    <w:p>
      <w:r>
        <w:rPr>
          <w:b/>
        </w:rPr>
        <w:t>E. 1</w:t>
      </w:r>
    </w:p>
    <w:p>
      <w:r>
        <w:t>Hinsichtlich des Verfahrensverlaufs bis zum Abschluss des erstinstanzlichen Prozesses kann auf die Erwägungen im angefochtenen Entscheid des Einzel- gerichts des Bezirksgerichts Bülach (nachfolgend: Vorinstanz) verwiesen werden (Urk. 35 S. 4).</w:t>
      </w:r>
    </w:p>
    <w:p>
      <w:r>
        <w:rPr>
          <w:b/>
        </w:rPr>
        <w:t>E. 1.1</w:t>
      </w:r>
    </w:p>
    <w:p>
      <w:r>
        <w:t>Gemäss Art. 66a Abs. 1 StGB verweist das Gericht einen Ausländer, der wegen einer im Deliktskatalog aufgeführten Tat verurteilt wird, unabhängig von der Höhe der Strafe für 5 bis 15 Jahre aus der Schweiz.</w:t>
      </w:r>
    </w:p>
    <w:p>
      <w:r>
        <w:t>- 27 -</w:t>
      </w:r>
    </w:p>
    <w:p>
      <w:r>
        <w:rPr>
          <w:b/>
        </w:rPr>
        <w:t>E. 1.2</w:t>
      </w:r>
    </w:p>
    <w:p>
      <w:r>
        <w:t>Ein Verzicht auf eine obligatorische Landesverweisung ist nur ausnahms- weise möglich, wenn diese für den Ausländer einen schweren persönlichen Härte- fall bewirken würde und die öffentlichen Interessen an einer Landesverweisung gegenüber den privaten Interessen des Ausländers am Verbleib in der Schweiz nicht überwiegen (Art. 66a Abs. 2 StGB). Ein schwerer persönlicher Härtefall ist dann anzunehmen, wenn die Summe aller mit der Landesverweisung verbundenen Schwierigkeiten den Betroffenen derart hart trifft, dass ein Verlassen der Schweiz bei objektiver Betrachtung zu einem nicht hinnehmbaren Eingriff in seine Daseinsbedingungen führt (BUSSLINGER/ ÜBERSAX, Härtefallklausel und migrationsrechtliche Auswirkungen der Landes- verweisung, in: plädoyer 5/16, S. 101). Ein Härtefall ist jedoch nicht leichthin an- zunehmen, da das Strafgericht bei Katalogtaten gemäss Art. 66a Abs. 1 StGB nur ausnahmsweise von der Landesverweisung absehen darf (BUSSLINGER/ÜBERSAX, a.a.O., S. 97). In der Literatur und der Judikatur wird die Ansicht vertreten, die in Art. 31 Abs. 1 VZAE zur Beurteilung der Erteilung ausländerrechtlicher Härtefall- bewilligungen festgehaltenen Kriterien seien für die Beurteilung der Härtefall- klausel nach Art. 66a Abs. 2 StGB analog anzuwenden, ohne diese unbesehen zu übernehmen. Diese Bestimmung schreibt vor, insbesondere die Integration, die Beachtung der schweizerischen Rechtsordnung, die Familienverhältnisse, die fi- nanziellen Verhältnisse, den Willen, am Wirtschaftsleben teilzunehmen, die Dauer der Anwesenheit in der Schweiz, den Gesundheitszustand sowie die Möglichkei- ten der Wiedereingliederung im Herkunftsstaat (BGE 144 IV 332 ff., E. 3.3.2. f. m.w.H. = Pra 108 [2019] Nr. 170, BERGER, Umsetzungsgesetzgebung zur Aus- schaffungsinitiative, in: Jusletter vom 7. August 2017, N 74 ff.; Urteil des Ober- gerichts SB170246 vom 6. Dezember 2017 E. 3.2). Ein Härtefall kann namentlich eintreten, wenn ein Beschuldigter aufgrund einer Krankheit oder eines Ge- brechens auf medizinische Leistungen angewiesen ist (FIOLKA/VETTERLI, Die Landesverweisung nach Art. 66a StGB, in: plädoyer 5/16, S. 85). Steht aufgrund einer Prüfung dieser Kriterien fest, dass die Landesverweisung zu einer schweren persönlichen Härte führen würde, sind sodann die privaten Inte- ressen des Beschuldigten an einem Verbleib in der Schweiz den öffentlichen Inte-</w:t>
      </w:r>
    </w:p>
    <w:p>
      <w:r>
        <w:t>- 28 - ressen an der Landesverweisung gegenüberzustellen, deren Gewicht wesentlich von der Art und Schwere der begangenen Delikte und der Legalprognose ab- hängt. Überwiegen die öffentlichen Interessen, muss die Landesverweisung aus- gesprochen werden (BGE 144 IV 332 E. 3.3 m.w.H.; Urteile des Bundesgerichts 6B_1192/2018 vom 23. Januar 2019 E. 2.1.1 und 6B_1070/2018 vom 14. August 2019 E. 6.2.2 f. und E. 6.5.2; BUSSLINGER/ÜBERSAX, a.a.O., S. 102 ff.).</w:t>
      </w:r>
    </w:p>
    <w:p>
      <w:r>
        <w:rPr>
          <w:b/>
        </w:rPr>
        <w:t>E. 2</w:t>
      </w:r>
    </w:p>
    <w:p>
      <w:r>
        <w:t>Mit vorstehend aufgeführtem Urteil vom 6. Juni 2019 sprach die Vorinstanz den Beschuldigten des mehrfachen Betrugs im Sinne von Art. 146 Abs. 1 StGB schuldig und bestrafte ihn mit einer Geldstrafe von 90 Tagessätzen à Fr. 10.–. Der Vollzug wurde aufgeschoben und die Probezeit auf 2 Jahre angesetzt. Die Vorinstanz verwies den Beschuldigten zudem für 5 Jahre des Landes. Dem Be- schuldigten wurden ferner die Kosten des Verfahrens, einschliesslich derjenigen der amtlichen Verteidigung, auferlegt, jedoch abgeschrieben (Urk. 35 S. 34).</w:t>
      </w:r>
    </w:p>
    <w:p>
      <w:r>
        <w:t>- 4 -</w:t>
      </w:r>
    </w:p>
    <w:p>
      <w:r>
        <w:rPr>
          <w:b/>
        </w:rPr>
        <w:t>E. 2.1</w:t>
      </w:r>
    </w:p>
    <w:p>
      <w:r>
        <w:t>Die Entscheidgebühr für das Berufungsverfahren ist auf Fr. 3'000.– zu ver- anschlagen (Art. 424 Abs. 1 StPO in Verbindung mit § 16 Abs. 1 GebV OG und § 14 Abs. 1 lit. b GebV OG).</w:t>
      </w:r>
    </w:p>
    <w:p>
      <w:r>
        <w:rPr>
          <w:b/>
        </w:rPr>
        <w:t>E. 2.2</w:t>
      </w:r>
    </w:p>
    <w:p>
      <w:r>
        <w:t>Im Berufungsverfahren werden die Kosten nach Obsiegen und Unterliegen auferlegt (Art. 428 Abs. 1 Satz 1 StPO). Der Beschuldigte obsiegt einzig dahinge- hend, dass beim Schuldspruch wegen Betrugs anstelle einer Mehrfachbegehung auf einfache Tatbegehung zu erkennen ist. Da der Beschuldigte mit seiner Beru- fung somit praktisch vollumfänglich unterliegt, rechtfertigt es sich, ihm die Kosten des Berufungsverfahrens, mit Ausnahme der Kosten der amtlichen Verteidigung, vollumfänglich aufzuerlegen. Die Kosten der amtlichen Verteidigung sind einstwei- len auf die Gerichtskasse zu nehmen. Vorzubehalten ist die Rückzahlungspflicht des Beschuldigten gemäss Art. 135 Abs. 4 StPO. Es ist nicht angezeigt, die Kos- ten in Anwendung von Art. 425 StPO abzuschreiben oder zu erlassen, zumal dies von der Verteidigung auch nicht mehr beantragt wurde (vgl. Urk. 59; Urk. 24). Es ist nicht ausgeschlossen, dass der Beschuldigte künftig in finanziell günstigere Verhältnisse kommen wird. Der momentan prekären finanziellen Situation des Beschuldigten kann beim Kostenbezug Rechnung getragen werden. 3. Der amtliche Verteidiger macht für seine Aufwendungen im Berufungsver- fahren, inkl. Barauslagen und Mehrwertsteuer, exkl. die Dauer der Berufungsver-</w:t>
      </w:r>
    </w:p>
    <w:p>
      <w:r>
        <w:t>- 32 - handlung, ein Honorar von Fr. 2'686.04 geltend (Urk. 58). Das geltend gemachte Honorar steht im Einklang mit den Ansätzen der Anwaltsgebührenverordnung und erweist sich grundsätzlich als angemessen. Mithin ist der amtliche Verteidiger mit einem pauschalen Honorar von Fr. 3'500.– (inkl. MwSt.) aus der Gerichtskasse zu entschädigen. Es wird beschlossen: 1. Es wird festgestellt, dass das Urteil des Bezirksgerichts Bülach, Einzel- gericht, vom 6. Juni 2019 wie folgt in Rechtskraft erwachsen ist: "Es wird erkannt: 1. - 4. (…) 5. Die Entscheidgebühr wird festgesetzt auf: Fr. 1'200.– ; die weiteren Auslagen betragen: Fr. 1'100.– Gebühr für die Strafuntersuchung Fr. 6'532.– amtl. Verteidigungskosten (inkl. MwSt.) Allfällige weitere Auslagen bleiben vorbehalten. 6. - 8. (…)" 2. Schriftliche Mitteilung mit nachfolgendem Urteil. Es wird erkannt: 1. Der Beschuldigte A._____ ist schuldig des Betrugs im Sinne von Art. 146 Abs. 1 StGB. 2. Der Beschuldigte wird bestraft mit einer Geldstrafe von 90 Tagessätzen zu Fr. 10.–. Der Vollzug der Geldstrafe wird aufgeschoben und die Probezeit auf 2 Jahre festgesetzt.</w:t>
      </w:r>
    </w:p>
    <w:p>
      <w:r>
        <w:t>- 33 - 4. Der Beschuldigte wird im Sinne von Art. 66a Abs. 1 lit. e StGB für 5 Jahre des Landes verwiesen. 5. Die erstinstanzliche Kostenauflage (Dispositiv Ziffer 6) wird bestätigt. 6. Die zweitinstanzliche Gerichtsgebühr wird festgesetzt auf: Fr. 3'000.– ; die weiteren Kosten betragen: Fr. 3'500.– amtliche Verteidigung</w:t>
      </w:r>
    </w:p>
    <w:p>
      <w:r>
        <w:rPr>
          <w:b/>
        </w:rPr>
        <w:t>E. 2.3</w:t>
      </w:r>
    </w:p>
    <w:p>
      <w:r>
        <w:t>Wie die Vorinstanz richtig erwogen hat, ist der Beschuldigte, obschon (mit Unterbrüchen) seit 28 Jahren in der Schweiz wohnhaft und während 9 Jahren mit einer Schweizerin verheiratet gewesen, in keiner Weise hierzulande integriert. Er spricht und versteht die deutsche Sprache schlecht, ist wirtschaftlich nicht in der Lage, ohne fremde Hilfe sein Leben in der Schweiz zu finanzieren, geht keiner Erwerbstätigkeit nach und verfügt über kein nennenswertes soziales Netz. Der Beschuldigte hat keine Familienangehörigen in der Schweiz, von seiner Schwei- zer Ehefrau, welche zudem seit mehreren Jahren in Sri Lanka lebt, ist er mittler- weile geschieden (Urk. 35 S. 33). Der Beschuldigte weist zudem in der Schweiz mehrere Vorstrafen auf (Urk. 37). Demgegenüber spricht der Beschuldigte fliessend singhalesisch und ist sowohl kulturell als auch sozial in seinem Heimatland verwurzelt. Dies zeigt sich insbe- sondere auch daran, dass er nach eigenen Angaben – wenn auch sehr selten – nach wie vor Kontakt zu seinen Geschwistern, welche in Sri Lanka leben, hat und zudem zwischenzeitlich für mehrere Jahre in sein Heimatland zurückkehrte bzw. später auch Urlaub in Sri Lanka verbrachte (vgl. Urk. 4/2 S. 2 f., Prot. I S. 6 f.). Dass er an der Berufungsverhandlung nunmehr ausführte, keine Kontakte zu jemandem in seiner Heimat zu pflegen, ist vor diesem Hintergrund als Schutz- behauptung zu werten (Prot. II S. 6). Hinsichtlich der vorgebrachten gesundheitlichen Probleme des Beschuldigten ergibt sich aus den eingereichten ärztlichen Unterlagen vom 7. Juli 2017 und 5. Dezember 2017, dass der Beschuldigte insbesondere unter einer chronischen Niereninsuffizienz sowie einem metabolischen Syndrom, Diabetes mellitus Typ II, leide und eine Nierentransplantation benötige (Urk. 23/1-3). Auch aus dem Schreiben des Universitätsspitals Zürich betreffend aktuelle Medikation des Be- schuldigten ab 28. November 2019 (Urk. 56) und dem Schreiben des den Be- schuldigten behandelnden Arztes vom 1. Februar 2020 (Urk. 57) geht hervor, dass beim Beschuldigten verschiedene Diagnosen und Krankheitsbilder vor- liegen. Zudem führt sein behandelnder Arzt in diesem Schreiben aus, aufgrund einer Multimorbidität sei es dringend notwendig, dass der Beschuldigte nach schweizerischem medizinischen Standard weiterbehandelt werde. Eine Unterbre-</w:t>
      </w:r>
    </w:p>
    <w:p>
      <w:r>
        <w:t>- 30 - chung dieser Behandlungen – wenn der Beschuldigte des Landes verwiesen wer- den würde – führe sicherlich zu einer sehr bedrohlichen Lebenssituation (Urk. 57 S. 1). Es liegen jedoch auch damit weder Dokumente noch Aussagen vor, wo- nach die Gesundheitsbeschwerden des Beschuldigten in seinem Heimatland medizinisch nicht behandelt werden könnten: Insbesondere die diagnostizierte Diabetes besteht seit vielen Jahren und hinderte den Beschuldigten nicht daran, von 2010 bis 2013 in Sri Lanka zu leben bzw. 2018 in seinem Heimatland Ferien zu verbringen (Prot. I S. 6, Urk. 4/2 S. 3). Auch ist nicht ersichtlich, weshalb das Nierenleiden des Beschuldigten in Sri Lanka nicht behandelt werden können soll- te. Der Beschuldigte führte in dieser Einvernahme namentlich aus, er sei nach Sri Lanka gereist, um sich dort einer Nierentransplantation zu unterziehen (Urk. 55 S. 7). Hinzu kommt, dass der behandelnde Arzt des Beschuldigten im Dezember 2017 zwar festgehalten hatte, eine Nierentransplantation sei wegen hochgradiger Niereninsuffizienz so rasch wie möglich erforderlich (vgl. Urk. 23/3 und Urk. 57). Seinem Schreiben vom 1. Februar 2020 ist über zwei Jahre später jedoch zu ent- nehmen, dass der Beschuldigte erst in Abklärung wegen "Shuntanlage/Listung Nierentransplantation" sei (Urk. 57). Gleichzeitig wird darin auch eine "aktuelle Dialysepflichtigkeit" erwähnt (vgl. a.a.O.). Der Beschuldigte räumte in seiner Ein- vernahme an der Berufungsverhandlung demgegenüber ein, er habe sich bis heu- te noch keiner Dialyse unterziehen müssen. Diese Angaben des behandelnden Arztes lässt sich mit den Angaben des Beschuldigten somit nicht in Übereinstim- mung bringen. Daher ist mit der Vorinstanz neben der zwingenden Notwendigkeit einer Transplantation auch die Dringlichkeit dieser Operation stark zu relativieren (vgl. Urk. 35 S. 33). Bleibt festzuhalten, dass der blosse Umstand, dass das Ge- sundheits- oder Sozialversicherungswesen in einem anderen Staat nicht mit je- nem in der Schweiz vergleichbar ist bzw. die hiesige medizinische Versorgung einem höheren Standard entspricht, keine automatische Unzumutbarkeit einer Rückkehr zur Folge hat.</w:t>
      </w:r>
    </w:p>
    <w:p>
      <w:r>
        <w:rPr>
          <w:b/>
        </w:rPr>
        <w:t>E. 2.4</w:t>
      </w:r>
    </w:p>
    <w:p>
      <w:r>
        <w:t>Unter Berücksichtigung sämtlicher Lebensumstände des Beschuldigten ist das Vorliegen eines Härtefalles gemäss Art. 66a Abs. 2 StGB zu verneinen. Damit erübrigen sich ergänzende Ausführungen zur Abwägung zwischen öffentlichem und privatem Interesse.</w:t>
      </w:r>
    </w:p>
    <w:p>
      <w:r>
        <w:t>- 31 - Der Beschuldigte ist entsprechend im Sinne von Art. 66a Abs. 1 lit. e StGB des Landes zu verweisen.</w:t>
      </w:r>
    </w:p>
    <w:p>
      <w:r>
        <w:rPr>
          <w:b/>
        </w:rPr>
        <w:t>E. 2.5</w:t>
      </w:r>
    </w:p>
    <w:p>
      <w:r>
        <w:t>Unter Berücksichtigung des leichten Verschuldens sowie der positiven Legalprognose erscheint es angemessen, die Dauer der Landesverweisung auf 5 Jahre festzusetzen. VIII. Kosten- und Entschädigungsfolgen 1. Da es im Berufungsverfahren beim vorinstanzlichen Schuldspruch bleibt, ist die erstinstanzliche Kostenauflage gemäss Dispositivziffer 6 des angefochtenen Entscheids ausgangsgemäss zu bestätigen (Art. 426 Abs. 1 StPO).</w:t>
      </w:r>
    </w:p>
    <w:p>
      <w:r>
        <w:rPr>
          <w:b/>
        </w:rPr>
        <w:t>E. 2.6</w:t>
      </w:r>
    </w:p>
    <w:p>
      <w:r>
        <w:t>Entgegen den Ausführungen der Vorinstanz ist indessen zugunsten des Be- schuldigten davon auszugehen, dass anlässlich der Besprechung vom 23. Okto- ber 2017 kein grundsätzlich neuer Vorsatz gefasst wurde, sondern vielmehr der bereits mittels Antrag vom 10. Juli 2017 manifestiere Vorsatz weitergeführt bzw. konsequent beibehalten wurde. Damit ist das Verhalten des Beschuldigten als</w:t>
      </w:r>
    </w:p>
    <w:p>
      <w:r>
        <w:t>- 23 - einfach begangener Betrug im Sinne von Art. 146 Abs. 1 StGB zu qualifizieren, eine Mehrfachbegehung liegt nicht vor. V. Sanktion 1. Anwendbares Recht Seit dem 1. Januar 2018 ist das revidierte Sanktionsrecht in Kraft (AS 2016 1249, BBl 2012 4721). Beging der Beschuldigte die vorgeworfenen Taten vor Inkraft- treten des neuen Rechts, ist dieses gemäss dem geltenden Prinzip der "lex mitior" nur anwendbar, wenn es für den Beschuldigten das mildere ist (Art. 2 Abs. 2 StGB). Gemäss Lehre und Rechtsprechung gilt die Tat im Zeitpunkt des tatbe- standsmässigen Handelns als begangen, wobei dies beim Betrugstatbestand mit der Beendigung des Delikts, mithin beim effektiven Eintritt des Schadens anzu- nehmen ist. Vorliegend trat der Schaden in seiner endgültigen Höhe im Februar 2018, mit der Auszahlung der letzten unrechtmässig erlangten Unterstützungsleis- tung der Sozialbehörde ein (vgl. Urk. 2/10). Somit ist die Tat als im Februar 2018 beendet zu qualifizieren, es kommt entsprechend das neue Recht zur Anwen- dung. 2. Strafzumessung</w:t>
      </w:r>
    </w:p>
    <w:p>
      <w:r>
        <w:rPr>
          <w:b/>
        </w:rPr>
        <w:t>E. 3</w:t>
      </w:r>
    </w:p>
    <w:p>
      <w:r>
        <w:t>Gegen das mündlich eröffnete Urteil (Prot. I S. 17) liess der Beschuldigte mit Eingabe seines Verteidigers vom 17. Juni 2019 rechtzeitig Berufung anmelden (Urk. 28). Am 30. August 2019 versandte die Vorinstanz das begründete Urteil an die Parteien (Urk. 34) und übermittelte in der Folge die Anmeldung der Berufung zusammen mit den Akten dem Obergericht. Die Berufungserklärung der Verteidi- gung ging ebenfalls innert gesetzlicher Frist bei der Berufungsinstanz ein (Urk. 42). Mit Präsidialverfügung vom 27. September 2019 wurde der Staats- anwaltschaft eine Kopie der Berufungserklärung zugestellt und Frist zur Erklärung der Anschlussberufung angesetzt (Urk. 44 S. 2). Ferner wurde dem Beschuldigten Frist zur Einreichung des Datenerfassungsblattes sowie weiterer Unterlagen an- gesetzt (a.a.O.). Die Staatsanwaltschaft verzichtete auf Anschlussberufung und beantragte innert Frist die Bestätigung des vorinstanzlichen Urteils (Urk. 46). Das vom Beschuldigten einverlangte Datenblatt wurde innert Frist nicht eingereicht.</w:t>
      </w:r>
    </w:p>
    <w:p>
      <w:r>
        <w:rPr>
          <w:b/>
        </w:rPr>
        <w:t>E. 4</w:t>
      </w:r>
    </w:p>
    <w:p>
      <w:r>
        <w:t>Mit Schreiben vom 10. Oktober 2019 teilte Frau B._____, Berufsbeiständin bei der Fachstelle für Erwachsenenschutz, Kreis Bülach Süd, unter Beilage des entsprechenden Entscheides mit, dass für den Beschuldigten mit Entscheid der KESB Kreis Bülach Süd vom 20. Juni 2019 eine Beistandschaft gemäss Art. 394 Abs. 1 ZGB in Verbindung mit Art. 395 Abs. 1 und 2 ZGB (Vertretungsbeistandschaft mit Einkommens- und Vermögensverwaltung) errichtet und sie zur Beiständin des Beschuldigten ernannt worden sei (Urk. 48, Urk. 50).</w:t>
      </w:r>
    </w:p>
    <w:p>
      <w:r>
        <w:rPr>
          <w:b/>
        </w:rPr>
        <w:t>E. 4.1</w:t>
      </w:r>
    </w:p>
    <w:p>
      <w:r>
        <w:t>Die Verteidigung macht – wie bereits vor Vorinstanz (vgl. Urk. 24 S. 5 f.) – geltend, dass der Beschuldigte anlässlich der Besprechung bei der Sozialbehörde C._____ vom 23. Oktober 2017 nicht adäquat auf die strafrechtlichen Folgen ei- ner falschen Deklaration aufmerksam gemacht worden sei. Dem Beschuldigten seien mangels genügender Übersetzung sowie mangels eigentlichen Verständ- nisses die in schriftlicher Form festgehaltenen strafrechtlichen Folgen einer Falschdeklaration letztlich nicht bekannt gewesen. In Analogie zu Art. 292 StGB habe daher ein Freispruch zu erfolgen (Urk. 59 S. 9 f.). Die Verteidigung rügt mit diesem Vorbringen (sinngemäss) eine Verletzung des Legalitätsprinzips bzw. das Fehlen einer Strafbarkeitsvoraussetzung.</w:t>
      </w:r>
    </w:p>
    <w:p>
      <w:r>
        <w:rPr>
          <w:b/>
        </w:rPr>
        <w:t>E. 4.2</w:t>
      </w:r>
    </w:p>
    <w:p>
      <w:r>
        <w:t>Den Ausführungen des Verteidigers kann nicht gefolgt werden. Einerseits war anlässlich der Besprechung vom 23. Oktober 2017 – wie auch der Beschul- digte bzw. sein Verteidiger einräumt (Urk. 55 S. 12, Urk. 59 S. 8 f., Urk. 24 S. 4) – ein vom Beschuldigten gewählter Übersetzer anwesend, welcher anlässlich der Sitzung für den Beschuldigten dolmetschte. Dieser unbestrittene Umstand impli- ziert, dass der Beschuldigte die von diesem gesprochene Sprache verstand – selbst wenn sie nicht dieselbe Muttersprache haben sollten (Urk. 55 S. 12 und Prot. II S. 6) – und dass dieser dem Beschuldigten sowohl das Gespräch als auch die von ihm unterschriebene Bestätigung fehlender Einnahmen aus selbststän- diger Erwerbstätigkeit sowie die strafrechtlichen Folgen einer Falschdeklaration übersetzt wurden. Jedenfalls sind weder objektive Anhaltspunkte dafür gegeben noch vermag der Beschuldigte bzw. sein Verteidiger substantiiert darzulegen, dass der selbst beigezogene Dolmetscher nicht korrekt oder nicht vollständig übersetzt hätte. Immerhin vermochte der Beschuldigte mit Hilfe des Dolmetschers ganz offensichtlich kund zu tun, dass er seit 3 Jahren keiner selbstständigen Er-</w:t>
      </w:r>
    </w:p>
    <w:p>
      <w:r>
        <w:t>- 7 - werbstätigkeit mehr nachgegangen sei bzw. keine Container mehr verschifft habe. Dies spricht durchaus für genügende Übersetzungsleistungen, womit auch davon ausgegangen werden darf, dass der Dolmetscher den gesamten Inhalt des Be- stätigungsschreibens übersetzt hat. Damit steht in tatsächlicher Hinsicht ausser Zweifel, dass der Beschuldigte grundsätzlich Kenntnis der strafrechtlichen Folgen einer Falschdeklaration hatte. Dies umso mehr, als in einer Aktennotiz der Sozial- hilfebehörde C._____ festgehalten wurde, dass ein Hinweis auf die strafrechtli- chen Folgen einer Nichtdeklaration von Einnahmen explizit erfolgt sei (Urk. 2/6 S. 8). Hierzu kann im Übrigen auf die korrekten Erwägungen der Vorinstanz verwiesen werden (Urk. 35 S. 9). Darüber hinaus geht aber der von der Verteidigung gezogene Analogieschluss zu Art. 292 StGB auch grundsätzlich fehl. Während es sich bei Art. 292 StGB um ei- ne Bestimmung handelt, welche als "Blankett-Strafdrohung" alle Rechtsgebiete umfasst und verfügungswidrige Handlungen gegenüber der öffentlichen Gewalt unter Strafe stellt (RIEDO/BONER, in: Niggli/Wiprächtiger, Basler Kommentar StGB II, 4. Aufl. 2018, N 9 zu Art. 292), handelt es sich beim Betrugstatbestand um ei- nen ordentlichen Tatbestand des Strafgesetzbuches, welcher – abgesehen von den Tatbestandselementen – keine speziellen Strafbarkeitsbedingungen voraus- setzt. Die Strafbarkeit hängt folglich auch nicht davon ab, ob ein Täter explizit auf die rechtlichen Folgen seines Tuns aufmerksam gemacht wird. Allein die Erfüllung sämtlicher Tatbestandselemente zieht die Strafbarkeit nach sich. Selbstredend variiert die Strafbarkeit auch nicht mit dem Umfeld oder dem Kontext, in welchem ein Täter delinquiert. Mit anderen Worten spielt es für die Strafbarkeit keine Rolle, dass es vorliegend um einen Antrag um Ausrichtung von Sozialhilfegeldern geht. Selbst wenn dem Beschuldigten die Straffolgen nicht übersetzt worden wären, würde dies damit vorliegend nichts an der grundsätzlichen Strafbarkeit eines be- trügerischen Handelns ändern. Ein Rechtsirrtum im Sinne von Art. 21 StGB wird seitens der Verteidigung nicht geltend gemacht.</w:t>
      </w:r>
    </w:p>
    <w:p>
      <w:r>
        <w:t>- 8 - 5. Verwertbarkeit der Beweismittel</w:t>
      </w:r>
    </w:p>
    <w:p>
      <w:r>
        <w:rPr>
          <w:b/>
        </w:rPr>
        <w:t>E. 5</w:t>
      </w:r>
    </w:p>
    <w:p>
      <w:r>
        <w:t>Am 5. November 2019 ergingen die Vorladungen zur heutigen Berufungs- verhandlung an den Beschuldigten und seinen amtlichen Verteidiger, die Staats- anwaltschaft, die Gemeinde C._____ sowie an die Beiständin des Beschuldigten (Urk. 51-53). Mit Schreiben vom 29. Januar 2020 reichte der amtliche Ver- teidigung eine einstweilige Honorarrechnung ein (Urk. 54).</w:t>
      </w:r>
    </w:p>
    <w:p>
      <w:r>
        <w:rPr>
          <w:b/>
        </w:rPr>
        <w:t>E. 5.1</w:t>
      </w:r>
    </w:p>
    <w:p>
      <w:r>
        <w:t>Die Verteidigung macht die fehlende Verwertbarkeit belastender Beweis- mittel betreffend verschiedene von ihr aufgelistete Sachverhalte und Schlüsse aus dem angefochtenen Urteil geltend. Zur Begründung führt sie im Wesentlichen eine Verletzung des Anspruchs des Beschuldigten auf rechtliches Gehör an. In Analogie zu Art. 147 Abs. 5 [recte: Abs. 4] StPO sei eine Verwertung einzig schriftlicher Beweismittel zu Lasten des Beschuldigten nicht zulässig, wenn Ein- vernahmen nicht durchgeführt worden seien, obwohl sie zwingend hätten durch- geführt werden müssen. Die Sozialbehörde habe sich als Privatklägerin konstitu- iert und hätte als Auskunftsperson mit den ihr zustehenden Rechten und Pflichten einvernommen werden müssen. Dies sei im Vorverfahren nicht passiert. Die An- klage und mit ihr das angefochtene Urteil würden namentlich auf Angaben der Sozialbehörde in deren Protokoll (Urk. 2/6) und dem Leistungsurteil selbst (Urk. 2/2) beruhen. Die Vorinstanz habe daraus Schlüsse gezogen, ohne dass die im Raum stehenden Vorwürfe untersucht bzw. belastende Indizien rechtsgültig erhoben worden wären. Eine Selbstbeschränkung (auf einen schriftlichen Bericht gemäss Art. 145 StPO) sei unzulässig, wenn die staatliche Aufklärungspflicht eine förmliche Einvernahme gebiete (vgl. Urk. 59 S. 2 ff.). Weshalb eine förmliche Einvernahme der Sozialbehörde bzw. von Mitgliedern der Sozialbehörde geboten gewesen sein soll, führt die Verteidigung nicht aus. An- haltspunkte dafür sind auch nicht ersichtlich. Der Beschuldigte hatte Gelegenheit, sich zu den schriftlichen Ausführungen zu äussern und bestritt den damit erstell- ten äusseren Sachverhalt – mithin auch die von der Verteidigung aufgelisteten Sachverhalte (vgl. Urk. 59 S. 3) – denn auch nicht; auch im Berufungsverfahren nicht (vgl. Urk. 59 S. 2). Er bestritt einzig den inneren Sachverhalt. Im Übrigen behauptet die Verteidigung nicht, eine solche Einvernahme beantragt zu haben. Hinweise auf eine Unverwertbarkeit sind nach dem Gesagten nicht erkennbar. Auf die von der Verteidigung beanstandeten Schlüsse wird soweit erforderlich im Rahmen der Beweiswürdigung noch einzugehen sein (vgl. nachfolgende E. III./2).</w:t>
      </w:r>
    </w:p>
    <w:p>
      <w:r>
        <w:t>- 9 -</w:t>
      </w:r>
    </w:p>
    <w:p>
      <w:r>
        <w:rPr>
          <w:b/>
        </w:rPr>
        <w:t>E. 5.2</w:t>
      </w:r>
    </w:p>
    <w:p>
      <w:r>
        <w:t>Betreffend sämtlicher in vorliegendem Verfahren zu den Akten genommener Urkundenbeweise ist festzuhalten, dass diese gesetzeskonform erhoben wurden. Dem Beschuldigten resp. dessen Verteidiger wurde auch Einsicht in sämtliche Verfahrensakten gewährt. Dem Anspruch des Beschuldigten auf rechtliches Ge- hör (vgl. Art. 107 StPO) wurde damit Genüge getan. Die Urkundenbeweise sind deshalb verwertbar. Auch die Einvernahmen des Beschuldigten sind gesetzeskonform erfolgt. Es kann damit vollumfänglich auf sie abgestellt werden.</w:t>
      </w:r>
    </w:p>
    <w:p>
      <w:r>
        <w:rPr>
          <w:b/>
        </w:rPr>
        <w:t>E. 6</w:t>
      </w:r>
    </w:p>
    <w:p>
      <w:r>
        <w:t>Beweisanträge Die Parteien stellten keine Beweisanträge.</w:t>
      </w:r>
    </w:p>
    <w:p>
      <w:r>
        <w:rPr>
          <w:b/>
        </w:rPr>
        <w:t>E. 7</w:t>
      </w:r>
    </w:p>
    <w:p>
      <w:r>
        <w:t>Die Kosten des Berufungsverfahrens, mit Ausnahme der Kosten der amt- lichen Verteidigung, werden dem Beschuldigten auferlegt. Die Kosten der amtlichen Verteidigung werden einstweilen auf die Gerichtskasse genom- men. Vorbehalten bleibt die Rückzahlungspflicht des Beschuldigten gemäss Art. 135 Abs. 4 StPO.</w:t>
      </w:r>
    </w:p>
    <w:p>
      <w:r>
        <w:rPr>
          <w:b/>
        </w:rPr>
        <w:t>E. 8</w:t>
      </w:r>
    </w:p>
    <w:p>
      <w:r>
        <w:t>Schriftliche Mitteilung im Dispositiv an − die amtliche Verteidigung im Doppel für sich und zuhanden des Beschuldigten − die Staatsanwaltschaft Winterthur / Unterland − die KESB Bülach Süd z.H. der Beiständin Frau B._____ sowie in vollständiger Ausfertigung an − die amtliche Verteidigung im Doppel für sich und zuhanden des Beschuldigten − die Staatsanwaltschaft Winterthur / Unterland − die KESB Bülach Süd z.H. der Beiständin Frau B._____ und nach unbenütztem Ablauf der Rechtsmittelfrist bzw. Erledigung allfälliger Rechtsmittel an − die Vorinstanz − die Koordinationsstelle VOSTRA mit Formular A − die KESB Bülach Süd z.H. der Beiständin Frau B._____ − das Migrationsamt des Kantons Zürich</w:t>
      </w:r>
    </w:p>
    <w:p>
      <w:r>
        <w:rPr>
          <w:b/>
        </w:rPr>
        <w:t>E. 9</w:t>
      </w:r>
    </w:p>
    <w:p>
      <w:r>
        <w:t>Gegen diesen Entscheid kann bundesrechtliche Beschwerde in Straf- sachen erhoben werden.</w:t>
      </w:r>
    </w:p>
    <w:p>
      <w:r>
        <w:t>- 34 -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 Strafkammer Zürich, 3. Februar 2020 Der Präsident: Die Gerichtsschreiberin: lic. iur. S. Volken lic. iur. A. Götschi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