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SB190296 vom 7. Januar 2020</w:t>
      </w:r>
    </w:p>
    <w:p>
      <w:r>
        <w:t>ZH Obergericht, 2020-01-07, DE</w:t>
      </w:r>
    </w:p>
    <w:p>
      <w:r>
        <w:rPr>
          <w:b/>
        </w:rPr>
        <w:t xml:space="preserve">Quelle: </w:t>
      </w:r>
      <w:r>
        <w:t>https://mcp.opencaselaw.ch/entscheid/zh_obergericht_SB190296</w:t>
      </w:r>
    </w:p>
    <w:p>
      <w:r>
        <w:t>FR: ZH_OBERGERICHT SB190296 du 7 janvier 2020</w:t>
      </w:r>
    </w:p>
    <w:p>
      <w:r>
        <w:t>IT: ZH_OBERGERICHT SB190296 del 7 gennaio 2020</w:t>
      </w:r>
    </w:p>
    <w:p>
      <w:pPr>
        <w:pStyle w:val="Heading2"/>
      </w:pPr>
      <w:r>
        <w:t>Erwägungen</w:t>
      </w:r>
    </w:p>
    <w:p>
      <w:r>
        <w:rPr>
          <w:b/>
        </w:rPr>
        <w:t>E. 1</w:t>
      </w:r>
    </w:p>
    <w:p>
      <w:r>
        <w:t>Gegen das eingangs im Dispositiv wiedergegebene, mündlich eröffnete Urteil des Bezirksgerichtes Winterthur, Einzelgericht in Strafsachen, vom 1. Okto- ber 2018 liess der Beschuldigte mit Eingabe der amtlichen Verteidigung vom 11. Oktober 2018 rechtzeitig Berufung anmelden (Urk. 71; Prot. I S. 27 ff.; Art. 399 Abs. 1 StPO). Nach Erhalt des begründeten Urteils am 13. Mai 2019 reichte die amtliche Verteidigung am 27. Mai 2019 (Poststempel) fristwahrend die Berufungserklärung im Sinne von Art. 399 Abs. 3 StPO ein, beantragte einen auf den Vorwurf der Drohung beschränkten Freispruch und stellte den Beweisantrag, es sei die Privatklägerin als Zeugin durch die Berufungsinstanz zu befragen (Urk. 79 S. 2 f.). Mit Präsidialverfügung vom 11. Juni 2019 wurde die Berufungs- erklärung des Beschuldigten der Privatklägerin und der Staatsanwaltschaft zuge- stellt und Frist für Anschlussberufung oder einen Nichteintretensantrag angesetzt. Dieselbe Frist wurde dem Beschuldigten angesetzt, um das Datenerfassungsblatt und Unterlagen zu seinen aktuellen wirtschaftlichen Verhältnissen einzureichen (Urk. 84). Infolge ihres unbekannten Aufenthaltsortes (Urk. 42; Urk. 83) erfolgte die Zustellung an die Privatklägerin durch öffentliche Publikation (Urk. 84 S. 2; Urk. 86). Mit Eingabe vom 13. Juni 2019 beantragte die Staatsanwaltschaft die Bestätigung des vorinstanzlichen Urteils, erklärte ihren Verzicht auf Anschlussbe- rufung und stellte ein Gesuch um Dispensation von der Teilnahme an der Beru-</w:t>
      </w:r>
    </w:p>
    <w:p>
      <w:r>
        <w:t>- 5 - fungsverhandlung (Urk. 87). Da die Anklagebehörde kein Rechtsmittel ergriffen hat und bei einem allfälligen Schuldspruch aufgrund des Verbotes der reformatio in peius (Art. 391 Abs. 2 StPO) eine Strafe von maximal 100 Tagessätzen Geld- strafe ausgefällt werden kann, besteht keine Erscheinungspflicht für die Staats- anwaltschaft (Art. 405 Abs. 3 StPO i.V.m. Art. 337 Abs. 3 StPO), weshalb sich das Dispensationsgesuch erübrigt.</w:t>
      </w:r>
    </w:p>
    <w:p>
      <w:r>
        <w:rPr>
          <w:b/>
        </w:rPr>
        <w:t>E. 2</w:t>
      </w:r>
    </w:p>
    <w:p>
      <w:r>
        <w:t>Der Beschuldigte hat im Vorverfahren und vor Vorinstanz stets bestritten, die Privatklägerin bedroht zu haben (Urk. 1/3 S. 3 ff.; Urk. 1/4 S. 2; Urk. 1/7 S. 2; Urk. 3/2 S. 3 ff.; Urk. 3/5 S. 2 f.; Urk. 1/12/5 S. 2; Prot. I S. 15 ff.). Dabei blieb er auch im Berufungsverfahren (Urk. 79 S. 2; Urk. 95 S. 5 f. und S. 9) und liess be- antragen, es sei auch die Privatklägerin als Zeugin durch die Berufungsinstanz zu befragen (Urk. 79 S. 2 f.). Wie sich nachfolgend ergibt, erübrigt sich sowohl eine weitere Anhörung des Beschuldigten als auch seiner Ehefrau.</w:t>
      </w:r>
    </w:p>
    <w:p>
      <w:r>
        <w:rPr>
          <w:b/>
        </w:rPr>
        <w:t>E. 2.1</w:t>
      </w:r>
    </w:p>
    <w:p>
      <w:r>
        <w:t>Bei den konkreten Umständen sind die Besonderheiten des Einzelfalles zu würdigen, wozu unter anderem die Schwere des Tatverdachts gehört, dem ei- ne Person ausgesetzt war. Laut Bundesgericht ist die pro Hafttag auszurichtende Genugtuung im Falle einer sehr schwerwiegenden Verdächtigung entsprechend zu erhöhen, sodass die betroffene Person jedenfalls einen Mindestbetrag von ei- nigen tausend Franken erhält (vgl. Urteile des Bundesgerichtes 8G.122/2002 vom 9. September 2003 E. 6.1.5, 6B_574/2010 vom 31. Januar 2011 E. 2.3 und 6B_758/2013 vom 11. November 2013 E. 1.2.1; je mit Hinweisen).</w:t>
      </w:r>
    </w:p>
    <w:p>
      <w:r>
        <w:rPr>
          <w:b/>
        </w:rPr>
        <w:t>E. 2.2</w:t>
      </w:r>
    </w:p>
    <w:p>
      <w:r>
        <w:t>Der Beschuldigte lässt geltend machen, er reagiere als früheres Folter- opfer auf solche Massnahmen (wie Haft) besonders empfindlich, weshalb von be- sonderen Umständen auszugehen sei, welche eine Erhöhung der Genugtuung gebiete. Zudem sei die kurze Untersuchungshaft praxisgemäss als sehr ein- schneidend zu qualifizieren, weshalb sich Fr. 300.– pro Hafttag als angemessen erweisen würden (Urk. 95 S. 14).</w:t>
      </w:r>
    </w:p>
    <w:p>
      <w:r>
        <w:rPr>
          <w:b/>
        </w:rPr>
        <w:t>E. 2.3</w:t>
      </w:r>
    </w:p>
    <w:p>
      <w:r>
        <w:t>Der Tatverdacht des mehrfachen Aussprechens von Todesdrohungen im Rahmen ehelicher Auseinandersetzungen ist nicht mehr als leicht zu werten, allerdings auch nicht als sehr schwerwiegend. Nicht näher ausgeführt wurde, weshalb der Beschuldigte als früheres Folteropfer auf Untersuchungshaft, wie sie hierzulande verhängt wird, besonders empfindlich reagiere. Allerdings lässt sich eine solche Haftreaktion hier nicht völlig ausschliessen. Auch wenn die erstande- ne Haft mit knapp einem Monat noch vergleichsweise kurz ist, erweisen sich die beantragten Fr. 300.– pro Hafttag jedenfalls an der allerobersten Grenze, zumal dies eine Erhöhung des höchstrichterlichen "Normaltarifs" um 50 % darstellt. Die verlangte Entschädigung von Fr. 8'700.– erweist sich daher tatsächlich als sehr hoch, aber gerade noch knapp angemessen, weshalb sie zuzusprechen ist.</w:t>
      </w:r>
    </w:p>
    <w:p>
      <w:r>
        <w:t>- 13 - VI. Kosten- und Entschädigungsfolgen 1. Fällt die Rechtsmittelinstanz selber einen neuen Entscheid, so befindet sie darin auch über die von der Vorinstanz getroffene Kostenregelung (Art. 428 Abs. 3 StPO). Da es auch im Berufungsverfahren bei einem Schuldspruch wegen mehrfachen Ungehorsams gegen amtliche Verfügungen im Sinne von Art. 292 StGB bleibt, der Beschuldigte aber vom Hauptvorwurf der mehrfachen Drohung freizusprechen ist, wären ihm die Kosten des Vorverfahrens und des erstinstanzli- chen Gerichtsverfahrens lediglich in der Grössenordnung von einem Fünftel auf- zuerlegen. 2. Die Kosten des Rechtsmittelverfahrens tragen die Parteien nach Massga- be ihres Obsiegens oder Unterliegens (Art. 428 Abs. 1 StPO). Nachdem der Be- schuldigte im Berufungsverfahren mit seinen Anträgen vollumfänglich durchdringt und lediglich wegen mehrfacher Übertretung schuldig zu sprechen ist, wäre ihm lediglich ein Fünftel der zweitinstanzlichen Kosten aufzuerlegen. Da der Beschul- digte jedoch bereits vor einiger Zeit nach Tschetschenien ausgeschafft wurde, weshalb sich ihm auferlegte Kosten als uneinbringlich erweisen dürften, sind sei- ne Kostenanteile aus dem Vorverfahren und den gerichtlichen Verfahren beider Instanzen ebenfalls vollumfänglich auf die Gerichtskasse zu nehmen.</w:t>
      </w:r>
    </w:p>
    <w:p>
      <w:r>
        <w:rPr>
          <w:b/>
        </w:rPr>
        <w:t>E. 3</w:t>
      </w:r>
    </w:p>
    <w:p>
      <w:r>
        <w:t>Die amtliche Verteidigung reichte für das Berufungsverfahren eine Hono- rarnote in der Höhe von Fr. 3'154.85 ein (Urk. 96). Der geltend gemachte Auf- wand von insgesamt 12 Stunden ist angemessen. Einer Korrektur bedarf jedoch die Position "Arbeit an Berufungsbegründung" vom 8. Oktober 2019, welche zu einem Stundensatz von Fr. 250.– statt Fr. 220.– verrechnet wurde (vgl. Urk. 96 S. 2). Weiter verrechnete die Verteidigung für den Versand eines Faxes am 31. Oktober 2019 den Tarif von Fr. 220.– statt denjenigen von Fr. 1.– (vgl. Urk. 96 S. 2). Nach der entsprechenden Korrektur der Honorarnote der amtlichen Vertei- digung ist diese für ihre Aufwendungen im Berufungsverfahren mit Fr. 2'871.– (inkl. Barauslagen und Mehrwertsteuer) aus der Gerichtskasse zu entschädigen. Auf einen Vorbehalt des anteilsmässigen Rückforderungsrechts des Staates (Art. 135 Abs. 4 StPO) ist angesichts der aussergewöhnlichen Umstände (Aufent-</w:t>
      </w:r>
    </w:p>
    <w:p>
      <w:r>
        <w:t>- 14 - haltsort und wirtschaftliche Verhältnisse des Beschuldigten) ebenfalls zu verzich- ten. Es wird beschlossen:</w:t>
      </w:r>
    </w:p>
    <w:p>
      <w:r>
        <w:rPr>
          <w:b/>
        </w:rPr>
        <w:t>E. 3.1</w:t>
      </w:r>
    </w:p>
    <w:p>
      <w:r>
        <w:t>Bei der objektiven Tatschwere ist zu gewichten, dass der Beschuldigte aufgrund der vergangenen Gewaltschutzverfahren genau wusste, welche Verbote ihm auferlegt worden waren. Dennoch missachtete er diese wiederholt. Dies zeigt eine bedenkliche Einstellung. Vor Vorinstanz hatte er dazu eingeräumt, dass Möglichkeiten bestanden hätten, den Kontakt zu den Kindern aufrechtzuerhalten, ohne dass es zwischen ihm und der Privatklägerin zum Kontakt gekommen wäre (Prot. I S. 26).</w:t>
      </w:r>
    </w:p>
    <w:p>
      <w:r>
        <w:t>- 11 -</w:t>
      </w:r>
    </w:p>
    <w:p>
      <w:r>
        <w:rPr>
          <w:b/>
        </w:rPr>
        <w:t>E. 3.2</w:t>
      </w:r>
    </w:p>
    <w:p>
      <w:r>
        <w:t>Bei der subjektiven Tatschwere ist zu berücksichtigen, dass er das Ra- yonverbot jeweils direktvorsätzlich missachtete und es ihm ohne Weiteres möglich gewesen wäre, den Kontakt zu den Kindern auf legalem Wege zu pflegen. Zu- recht hat die Vorderrichterin sein Geständnis nicht strafmindernd berücksichtigt, da er bei den Zuwiderhandlungen gegen das Rayonverbot jeweils von der Polizei angetroffen worden war, was keinen Raum mehr bot für eine ernsthafte Bestrei- tung.</w:t>
      </w:r>
    </w:p>
    <w:p>
      <w:r>
        <w:rPr>
          <w:b/>
        </w:rPr>
        <w:t>E. 3.2.1</w:t>
      </w:r>
    </w:p>
    <w:p>
      <w:r>
        <w:t>Die Privatklägerin äusserte bereits anlässlich ihrer ersten polizeilichen Befragung den Wunsch, ob dem Beschuldigten nicht gesagt werden könne, er solle aufhören, andernfalls drohe ihm eine Ausschaffung nach Russland (Tschet- schenien). Oder: Ob der Beschuldigte nicht mal für 3 Jahre nach Russland aus- geschafft werden könnte…? Diese Aussagen zeigen augenscheinlich ihr (damali- ges) Interesse am vorliegenden Verfahren. Man lebte seit dem tt. Mai 2017 ge- trennt. Die Privatklägerin hatte das Scheidungsverfahren eingeleitet, während der Beschuldigte die Wiedervereinigung anstrebte. Unter diesen Gesichtspunkten er- weist sich die Beweislage als besonders schwierig, nachdem die Privatklägerin Todesdrohungen behauptet, der Beschuldigte diese aber bestreitet und die Zeu- ginnen, 3 Mitarbeiterinnen der Kindertagesstätte, bloss Aussagen vom Hörensa- gen machen konnten.</w:t>
      </w:r>
    </w:p>
    <w:p>
      <w:r>
        <w:rPr>
          <w:b/>
        </w:rPr>
        <w:t>E. 3.2.2</w:t>
      </w:r>
    </w:p>
    <w:p>
      <w:r>
        <w:t>Dabei sagte Zeugin D._____ (Urk. 1/6/1) aus, die Privatklägerin habe ihr gesagt, der Beschuldigte habe ihr damit gedroht, ein Messer zu holen und sie zu töten. Sie (die Zeugin) selber habe aber (aus sprachlichen Gründen) nichts dergleichen verstanden. Und nach dem Gemütszustand der Privatklägerin in je- nem Moment befragt, gab Zeugin D._____ zu Protokoll: "Ruhig, zurückhaltend, etwas kalt." Die Privatklägerin scheine ihr etwas resigniert gewesen zu sein, und diese habe ihr gesagt, die Polizisten würden sie nicht ernstnehmen (Urk. 1/6/1 S. 3).</w:t>
      </w:r>
    </w:p>
    <w:p>
      <w:r>
        <w:rPr>
          <w:b/>
        </w:rPr>
        <w:t>E. 3.2.3</w:t>
      </w:r>
    </w:p>
    <w:p>
      <w:r>
        <w:t>Die anderen beiden Zeuginnen, E._____ und F._____, gaben mehr oder minder übereinstimmend zu Protokoll, sie hätten die Geschehnisse am Abend des 4. August 2017 zwar teilweise mitverfolgt. Die Eheleute hätten mitei- nander gesprochen. Sie (die Zeuginnen) hätten aber nichts verstanden. Es sei Tschetschenisch gewesen. Es sei aber kein lauter Streit gewesen. Der Beschul- digte und die Privatklägerin hätten miteinander gesprochen, aber irgendwie be- drohlich sei das (für die Zeugin F._____) nicht gewesen. Die Zeugin E._____ füg- te bei, in der Wohnung habe die Privatklägerin ihnen einfach gesagt, der Be- schuldigte habe ihr bei diesem Vorfall mit einem Messer gedroht (Urk. 1/6/2 S. 3; Urk. 1/6/3 S. 3). Die Zeuginnen konnten mithin bloss wiedergeben, was ihnen die Privatklägerin erzählt hatte, während sie selbst aber den Eindruck gewonnen hat-</w:t>
      </w:r>
    </w:p>
    <w:p>
      <w:r>
        <w:t>- 9 - ten, es sei gar kein lauter Streit gewesen, und irgendwie bedrohlich sei dies nicht gewesen. Die Zeuginnen beschrieben die Privatklägerin denn auch nicht als ein- geschüchtert oder als erschreckt. Letztlich bleibt somit einzig die belastende un- mittelbare Darstellung der Privatklägerin, welche vom Beschuldigten stets vehe- ment bestritten wurde, mithin eine Situation Aussage gegen Aussage, wie die amtliche Verteidigung zutreffend geltend macht (Urk. 95 S. 10 f.).</w:t>
      </w:r>
    </w:p>
    <w:p>
      <w:r>
        <w:rPr>
          <w:b/>
        </w:rPr>
        <w:t>E. 3.3</w:t>
      </w:r>
    </w:p>
    <w:p>
      <w:r>
        <w:t>Angesichts des Verschuldens und in Anbetracht der äusserst engen fi- nanziellen Verhältnisse des Beschuldigten rechtfertigt es sich, ihn mit Fr. 300.– Busse zu bestrafen. Diese ist zu bezahlen. Sollte er die Busse schuldhaft nicht bezahlen, ist gemäss Art. 106 Abs. 2 StGB in Anwendung des üblichen Umwand- lungssatzes von einem Tag Ersatzfreiheitsstrafe pro Fr. 100.– eine Ersatzfrei- heitsstrafe von 3 Tagen festzusetzen. V. Entschädigung unrechtmässig erstandener Haft 1. Der Beschuldigte verlangt mit seiner Berufung für 29 Tage unrechtmässi- ge Haft und eine besonders schwere Verletzung in seinen persönlichen Verhält- nissen gestützt auf Art. 429 StPO eine Entschädigung von Fr. 8'700.–, mithin Fr. 300.– pro Hafttag (Urk. 79 S. 2; Urk. 95 S. 13 f.). 2. Da der Beschuldigte lediglich wegen mehrfacher Übertretung mit Busse zu bestrafen ist, sind die gesamten von ihm erstandenen 29 Tage Untersu- chungshaft gestützt auf Art. 431 Abs. 2 StPO grundsätzlich zu entschädigen. Das Bundesrecht setzt keinen bestimmten Mindestbetrag fest (Art. 429 Abs. 1 lit. c StPO). Bei der Festsetzung der Entschädigung ist nach der Praxis des Bundesge- richtes grundsätzlich ein Ansatz von Fr. 200.– pro Hafttag anzuwenden, sofern nicht aussergewöhnliche Umstände vorliegen, die eine höhere oder geringere Entschädigung rechtfertigen (BGE 139 IV 243 E. 3). Dieser ist sodann an die kon- kreten Umstände des Falles anzupassen. Bei einer längeren Haftdauer nimmt die Schwere des Eingriffs in die persönlichen Verhältnisse des Betroffenen nicht pro- portional zu und ist deshalb ein niedrigerer Tagessatz anzuwenden. Die Festle- gung der Genugtuungssumme beruht auf richterlichem Ermessen, in welches das</w:t>
      </w:r>
    </w:p>
    <w:p>
      <w:r>
        <w:t>- 12 - Bundesgericht nur mit Zurückhaltung eingreift (Urteil des Bundesgerichtes 6B_53/2013 vom 8. Juli 2013 E. 3.2 mit Hinweisen, nicht publiziert in: BGE 139 IV 243).</w:t>
      </w:r>
    </w:p>
    <w:p>
      <w:r>
        <w:rPr>
          <w:b/>
        </w:rPr>
        <w:t>E. 3.4</w:t>
      </w:r>
    </w:p>
    <w:p>
      <w:r>
        <w:t>Es bestehen somit erhebliche Zweifel an der Darstellung der Privatklä- gerin. Es kann nicht ausgeschlossen werden, dass sie übertrieb und zum Zwecke der Erlangung der Scheidung oder einer Ausweisung des Beschuldigten Todes- drohungen hinzudichtete. Daran vermöchte auch eine nochmalige Befragung der Privatklägerin über zwei Jahre nach den anklagegegenständlichen Vorkommnis- sen nichts zu ändern. Mit anderen Worten verspräche die vom Beschuldigten mit seinem Beweisantrag verlangte nochmalige Befragung der Privatklägerin durch Berufungsinstanz keinen Erkenntnisgewinn, weshalb von einer solchen Befragung abzusehen ist.</w:t>
      </w:r>
    </w:p>
    <w:p>
      <w:r>
        <w:rPr>
          <w:b/>
        </w:rPr>
        <w:t>E. 3.5</w:t>
      </w:r>
    </w:p>
    <w:p>
      <w:r>
        <w:t>Nach dem Dargelegten lassen sich die Todesdrohungen nicht anklage- genügend nachweisen. Vielmehr verbleiben unüberwindbare Zweifel im Sinne von</w:t>
      </w:r>
    </w:p>
    <w:p>
      <w:r>
        <w:t>- 10 - Art. 10 Abs. 3 StPO an der Darstellung der Privatklägerin bestehen, wonach der Beschuldigte, welcher eine Wiedervereinigung mit der Privatklägerin anstrebte, Todesdrohungen ausgesprochen haben könnte, zumal mindestens anlässlich der Vorkommnisse vom 4. August 2017 die Zeuginnen keine derart bedrohliche Situa- tion beobachtet hatten, wie sie bei einem möglichen Ausstossen von Todesdro- hungen zu erwarten gewesen wäre und welche als gewichtigen Hinweis auf To- desdrohungen hätte gewertet werden können. Andere Beweismittel für das Aus- sprechen von Todesdrohungen durch den Beschuldigten liegen nicht vor. Der An- klagevorwurf, der Beschuldigte habe Todesdrohungen gegen die Privatklägerin ausgestossen, lässt sich somit nicht rechtsgenügend erstellen, weshalb der Be- schuldigte von diesem Anklagevorwurf freizusprechen ist. IV. Strafzumessung 1. Es verbleibt damit die für die (rechtskräftige) Verurteilung wegen mehrfa- chen Ungehorsams gegen amtliche Verfügungen im Sinne von Art. 292 StGB auszufällende Busse zu bemessen. 2. Die Vorderrichterin hat den Beschuldigten mit Fr. 1'000.– Busse bestraft. Die Staatsanwaltschaft hat die Bestätigung des vorinstanzlichen Urteils beantragt, und der Beschuldigte verlangt mit seiner Berufung infolge seiner angespannten wirtschaftlichen Situation die Reduktion der Busse auf Fr. 300.– (Urk. 79 S. 2; Urk. 95 S. 2 und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