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SB190274 vom 19. Juni 2019</w:t>
      </w:r>
    </w:p>
    <w:p>
      <w:r>
        <w:t>ZH Obergericht, 2019-06-19, DE</w:t>
      </w:r>
    </w:p>
    <w:p>
      <w:r>
        <w:rPr>
          <w:b/>
        </w:rPr>
        <w:t xml:space="preserve">Quelle: </w:t>
      </w:r>
      <w:r>
        <w:t>https://mcp.opencaselaw.ch/entscheid/zh_obergericht_SB190274</w:t>
      </w:r>
    </w:p>
    <w:p>
      <w:r>
        <w:t>FR: ZH_OBERGERICHT SB190274 du 19 juin 2019</w:t>
      </w:r>
    </w:p>
    <w:p>
      <w:r>
        <w:t>IT: ZH_OBERGERICHT SB190274 del 19 giugno 2019</w:t>
      </w:r>
    </w:p>
    <w:p>
      <w:pPr>
        <w:pStyle w:val="Heading2"/>
      </w:pPr>
      <w:r>
        <w:t>Erwägungen</w:t>
      </w:r>
    </w:p>
    <w:p>
      <w:r>
        <w:rPr>
          <w:b/>
        </w:rPr>
        <w:t>E. 1</w:t>
      </w:r>
    </w:p>
    <w:p>
      <w:r>
        <w:t>Mit Urteil vom 14. Dezember 2018 wurde der Beschuldigte B._____ vom Vorwurf der Drohung im Sinne von Art. 180 Abs. 1 StGB freigesprochen (Urk. 76). Die Privatklägerin meldete dagegen mit Schreiben vom 21. Dezember 2018 rechtzeitig Berufung an (Urk. 66). Das begründete Urteil wurde der Privatklägerin am 21. Mai 2019 zugestellt (Urk. 75).</w:t>
      </w:r>
    </w:p>
    <w:p>
      <w:r>
        <w:rPr>
          <w:b/>
        </w:rPr>
        <w:t>E. 2</w:t>
      </w:r>
    </w:p>
    <w:p>
      <w:r>
        <w:t>Gemäss Art. 399 Abs. 1 StPO ist die Berufung beim erstinstanzlichen Gericht innert 10 Tagen mündlich oder schriftlich anzumelden. Der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(HUG/SCHEIDEGGER, in: Donatsch/Hansjakob/Lieber (Hrsg.), Kommentar zur Schweizerischen Strafprozessordnung, 2. Aufl., Zürich 2014, Art. 399 N 10; BSK StPO-EUGSTER, 2. Aufl. 2014, Art. 399 N 2).</w:t>
      </w:r>
    </w:p>
    <w:p>
      <w:r>
        <w:rPr>
          <w:b/>
        </w:rPr>
        <w:t>E. 3</w:t>
      </w:r>
    </w:p>
    <w:p>
      <w:r>
        <w:t>Nachdem die Privatklägerin bis zum 11. Juni 2019 keine Berufungserklärung einreichte bzw. einreichen liess, ist die zwanzigtägige Frist gemäss Art. 399 Abs. 3 StPO ungenutzt verstrichen. Damit ist auf die Berufung der Privatklägerin gestützt auf Art. 403 Abs. 1 und Abs. 3 StPO nicht einzutreten.</w:t>
      </w:r>
    </w:p>
    <w:p>
      <w:r>
        <w:rPr>
          <w:b/>
        </w:rPr>
        <w:t>E. 4</w:t>
      </w:r>
    </w:p>
    <w:p>
      <w:r>
        <w:t>Im Rechtsmittelverfahren tragen die Parteien die Kosten nach Massgabe ihres Obsiegens oder Unterliegens. Das Nichteintreten auf das Rechtsmittel der Privatklägerin kommt einem Unterliegen gleich (Art. 428 Abs. 1 StPO). Der Privatklägerin sind somit die Kosten des Berufungsverfahrens aufzuerlegen. Die Gerichtsgebühr ist auf Fr. 600.-- festzusetzen.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