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SB190244 vom 28. September 2020</w:t>
      </w:r>
    </w:p>
    <w:p>
      <w:r>
        <w:t>ZH Obergericht, 2020-09-28, DE</w:t>
      </w:r>
    </w:p>
    <w:p>
      <w:r>
        <w:rPr>
          <w:b/>
        </w:rPr>
        <w:t xml:space="preserve">Quelle: </w:t>
      </w:r>
      <w:r>
        <w:t>https://mcp.opencaselaw.ch/entscheid/zh_obergericht_SB190244</w:t>
      </w:r>
    </w:p>
    <w:p>
      <w:r>
        <w:t>FR: ZH_OBERGERICHT SB190244 du 28 septembre 2020</w:t>
      </w:r>
    </w:p>
    <w:p>
      <w:r>
        <w:t>IT: ZH_OBERGERICHT SB190244 del 28 settembre 2020</w:t>
      </w:r>
    </w:p>
    <w:p>
      <w:pPr>
        <w:pStyle w:val="Heading2"/>
      </w:pPr>
      <w:r>
        <w:t>Erwägungen</w:t>
      </w:r>
    </w:p>
    <w:p>
      <w:r>
        <w:rPr>
          <w:b/>
        </w:rPr>
        <w:t>E. 1</w:t>
      </w:r>
    </w:p>
    <w:p>
      <w:r>
        <w:t>Am 7. Februar 2019 meldete der Beschuldigte gegen das Urteil des Bezirksgerichtes Bülach vom 29. Januar 2019 Berufung an (Urk. 25). Mit Eingabe vom 17. September 2020, eingegangen am 18. September 2020, hat der Be- schuldigte die gegen das vorinstanzliche Urteil angemeldete Berufung zurückge- zogen (Urk. 43), weshalb auch die von der Staatsanwaltschaft mit Eingabe vom 12. Juni 2019 angemeldete Anschlussberufung dahinfällt (Urk. 37).</w:t>
      </w:r>
    </w:p>
    <w:p>
      <w:r>
        <w:rPr>
          <w:b/>
        </w:rPr>
        <w:t>E. 2</w:t>
      </w:r>
    </w:p>
    <w:p>
      <w:r>
        <w:t>Das Verfahren ist demgemäss unter ausgangsgemässer Regelung der Kos- ten- und Entschädigungsfolgen als erledigt abzuschreiben. Die Gerichtsgebühr ist auf Fr. 1'200.– festzusetzen. Der amtliche Verteidiger des Beschuldigten macht für seine Aufwendungen und Auslagen im Berufungsverfahren ein Honorar von insgesamt Fr. 3'698.70 (inkl. MwSt.) geltend (Urk. 45). Das geforderte Honorar ist ausgewiesen und angemessen, weshalb die amtliche Verteidigung antrags- gemäss aus der Gerichtskasse unter Vorbehalt der Rückforderung nach Art. 135 Abs. 4 StPO zu entschädigen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