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SB190237 vom 17. Dezember 2019</w:t>
      </w:r>
    </w:p>
    <w:p>
      <w:r>
        <w:t>ZH Obergericht, 2019-12-17, DE</w:t>
      </w:r>
    </w:p>
    <w:p>
      <w:r>
        <w:rPr>
          <w:b/>
        </w:rPr>
        <w:t xml:space="preserve">Quelle: </w:t>
      </w:r>
      <w:r>
        <w:t>https://mcp.opencaselaw.ch/entscheid/zh_obergericht_SB190237</w:t>
      </w:r>
    </w:p>
    <w:p>
      <w:r>
        <w:t>FR: ZH_OBERGERICHT SB190237 du 17 décembre 2019</w:t>
      </w:r>
    </w:p>
    <w:p>
      <w:r>
        <w:t>IT: ZH_OBERGERICHT SB190237 del 17 dicembre 2019</w:t>
      </w:r>
    </w:p>
    <w:p>
      <w:pPr>
        <w:pStyle w:val="Heading2"/>
      </w:pPr>
      <w:r>
        <w:t>Erwägungen</w:t>
      </w:r>
    </w:p>
    <w:p>
      <w:r>
        <w:rPr>
          <w:b/>
        </w:rPr>
        <w:t>E. 1</w:t>
      </w:r>
    </w:p>
    <w:p>
      <w:r>
        <w:t>Hinsichtlich des Verfahrensganges bis zum Abschluss des erstinstanzlichen Verfahrens kann vollumfänglich auf die vollständigen und zutreffenden Erwägun- gen im angefochtenen Entscheid verwiesen werden (Urk. 78 S. 3).</w:t>
      </w:r>
    </w:p>
    <w:p>
      <w:r>
        <w:rPr>
          <w:b/>
        </w:rPr>
        <w:t>E. 2</w:t>
      </w:r>
    </w:p>
    <w:p>
      <w:r>
        <w:t>Abteilung - Einzelgericht, vom 18. Januar 2019 (fortan Vorinstanz) wurde der Beschuldigte der fahrlässigen Verletzung der Verkehrsregeln im Sinne von Art. 90 Abs. 1 SVG i.V.m. Art. 38 Abs. 1 SVG, Art. 31 Abs. 1 SVG und Art. 3 Abs. 1 VRV sowie Art. 100 Ziff. 1 SVG schuldig gesprochen und mit einer Busse von Fr. 500.– bestraft. Vom Vorwurf des vorsätzlichen Fahrens in fahrunfähigem Zustand im Sinne von Art. 91 Abs. 2 lit. a SVG i.V.m. Art. 2 lit. b der Verordnung der Bundes- versammlung über Blutalkoholgrenzwerte im Strassenverkehr wurde der Be- schuldigte freigesprochen (Urk. 78 S. 17).</w:t>
      </w:r>
    </w:p>
    <w:p>
      <w:r>
        <w:rPr>
          <w:b/>
        </w:rPr>
        <w:t>E. 3</w:t>
      </w:r>
    </w:p>
    <w:p>
      <w:r>
        <w:t>Wird die beschuldigte Person freigesprochen, so hat sie Anspruch auf Ent- schädigung ihrer Aufwendungen für die angemessene Ausübung ihrer Ver- fahrensrechte (Art. 429 Abs. 1 lit. a StPO). Die Bemühungen eines Anwaltes müssen sachbezogen und angemessen sei (WEHRENBERG/FRANK, in: BSK StPO, 2. Aufl. 2014, N 15 zu Art. 429).</w:t>
      </w:r>
    </w:p>
    <w:p>
      <w:r>
        <w:rPr>
          <w:b/>
        </w:rPr>
        <w:t>E. 3.1</w:t>
      </w:r>
    </w:p>
    <w:p>
      <w:r>
        <w:t>In der Tat stehen die von der Staatsanwaltschaft aufgeführten Positionen vom 13., 24. und 28. März 2017, vom 7. und 21. April 2017 sowie vom 8. Mai 2017 im Zusammenhang mit dem administrativrechtlichen Verfahren beim Stras- senverkehrsamt (vgl. Urk. 70/2) und nicht mit dem vorliegenden Strafverfahren. Diese Aufwendungen von total 1.3 Stunden sind nicht zu entschädigen. Es erge- ben sich somit Aufwendungen von 30.6 Stunden, die zu entschädigen sind.</w:t>
      </w:r>
    </w:p>
    <w:p>
      <w:r>
        <w:rPr>
          <w:b/>
        </w:rPr>
        <w:t>E. 3.2</w:t>
      </w:r>
    </w:p>
    <w:p>
      <w:r>
        <w:t>Der vom Verteidiger in Rechnung gestellte Stundenansatz von Fr. 320.– bewegt sich zwar an der oberen Grenze, liegt aber noch im gesetzlichen Rahmen</w:t>
      </w:r>
    </w:p>
    <w:p>
      <w:r>
        <w:t>- 12 - (§ 3 AnwGebV: Stundenansatz von Fr. 150.– bis Fr. 350.–). Er ist daher nicht zu beanstanden.</w:t>
      </w:r>
    </w:p>
    <w:p>
      <w:r>
        <w:rPr>
          <w:b/>
        </w:rPr>
        <w:t>E. 3.3</w:t>
      </w:r>
    </w:p>
    <w:p>
      <w:r>
        <w:t>Dem Beschuldigten ist für die Kosten seiner anwaltlichen Verteidigung im Untersuchungs- und erstinstanzlichen Verfahren somit eine Entschädigung von Fr. 11'179.85 (inkl. MwSt. und Barauslagen; Aufwendungen von 30.6 Stunden sowie Auslagen von Fr. 588.50) aus der Gerichtskasse zuzusprechen.</w:t>
      </w:r>
    </w:p>
    <w:p>
      <w:r>
        <w:rPr>
          <w:b/>
        </w:rPr>
        <w:t>E. 4</w:t>
      </w:r>
    </w:p>
    <w:p>
      <w:r>
        <w:t>Die Kosten des Rechtsmittelverfahrens tragen die Parteien nach Massgabe ihres Obsiegens und Unterliegens (Art. 428 Abs. 1 StPO). Die Staatsanwaltschaft unterliegt mit ihrer Berufung grösstenteils. Lediglich betreffend die Prozessent- schädigung obsiegt sie in einem kleinen Teil. Demzufolge rechtfertigt es sich, die Kosten des Berufungsverfahrens vollumfänglich auf die Gerichtskasse zu neh- men.</w:t>
      </w:r>
    </w:p>
    <w:p>
      <w:r>
        <w:rPr>
          <w:b/>
        </w:rPr>
        <w:t>E. 5</w:t>
      </w:r>
    </w:p>
    <w:p>
      <w:r>
        <w:t>Dem Beschuldigten wird für die Kosten seiner Verteidigung in der Unter- suchung sowie im erstinstanzlichen Verfahren eine Prozessentschädigung von Fr. 11'179.85 aus der Gerichtskasse zugesprochen.</w:t>
      </w:r>
    </w:p>
    <w:p>
      <w:r>
        <w:rPr>
          <w:b/>
        </w:rPr>
        <w:t>E. 6</w:t>
      </w:r>
    </w:p>
    <w:p>
      <w:r>
        <w:t>Die zweitinstanzliche Gerichtsgebühr fällt ausser Ansatz.</w:t>
      </w:r>
    </w:p>
    <w:p>
      <w:r>
        <w:rPr>
          <w:b/>
        </w:rPr>
        <w:t>E. 7</w:t>
      </w:r>
    </w:p>
    <w:p>
      <w:r>
        <w:t>Die Kosten des Berufungsverfahrens werden auf die Gerichtskasse ge- nommen.</w:t>
      </w:r>
    </w:p>
    <w:p>
      <w:r>
        <w:rPr>
          <w:b/>
        </w:rPr>
        <w:t>E. 8</w:t>
      </w:r>
    </w:p>
    <w:p>
      <w:r>
        <w:t>Dem Beschuldigten wird für das Berufungsverfahren eine Prozessentschä- digung von Fr. 2'842.– für anwaltliche Verteidigung aus der Gerichtskasse zugesprochen.</w:t>
      </w:r>
    </w:p>
    <w:p>
      <w:r>
        <w:rPr>
          <w:b/>
        </w:rPr>
        <w:t>E. 9</w:t>
      </w:r>
    </w:p>
    <w:p>
      <w:r>
        <w:t>Schriftliche Mitteilung in vollständiger Ausfertigung an − die Verteidigung im Doppel für sich und zuhanden des Beschuldigten − die Staatsanwaltschaft Zürich-Limmat und nach unbenütztem Ablauf der Rechtsmittelfrist bzw. Erledigung allfälliger Rechtsmittel an</w:t>
      </w:r>
    </w:p>
    <w:p>
      <w:r>
        <w:t>- 14 - − die Vorinstanz − das Strassenverkehrsamt des Kantons Zürich, Abteilung Administrativ- massnahmen, Richterliche Fahrverbote, 8090 Zürich (Pin-Nr. …) − die Kantonspolizei Zürich, KIA-ZA, mit separatem Schreiben (§ 54a Abs. 1 PolG) − die Koordinationsstelle VOSTRA zur Entfernung der Daten gemäss Art. 12 Abs. 1 lit. d VOSTRA mittels Kopie von Urk. 81.</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Dezember 2019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