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SB190070 vom 11. März 2019</w:t>
      </w:r>
    </w:p>
    <w:p>
      <w:r>
        <w:t>ZH Obergericht, 2019-03-11, DE</w:t>
      </w:r>
    </w:p>
    <w:p>
      <w:r>
        <w:rPr>
          <w:b/>
        </w:rPr>
        <w:t xml:space="preserve">Quelle: </w:t>
      </w:r>
      <w:r>
        <w:t>https://mcp.opencaselaw.ch/entscheid/zh_obergericht_SB190070</w:t>
      </w:r>
    </w:p>
    <w:p>
      <w:r>
        <w:t>FR: ZH_OBERGERICHT SB190070 du 11 mars 2019</w:t>
      </w:r>
    </w:p>
    <w:p>
      <w:r>
        <w:t>IT: ZH_OBERGERICHT SB190070 del 11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Privatklägerin meldete mit Eingabe vom 5. Juli 2018 innert Frist Be- rufung gegen das Urteil des Bezirksgerichts Uster vom 26. Juni 2018 an (Urk. 45). Das begründete Urteil wurde dem Rechtsvertreter der Privatklägerin am</w:t>
      </w:r>
    </w:p>
    <w:p>
      <w:r>
        <w:rPr>
          <w:b/>
        </w:rPr>
        <w:t>E. 4</w:t>
      </w:r>
    </w:p>
    <w:p>
      <w:r>
        <w:t>Im Rechtsmittelverfahren tragen die Parteien die Kosten nach Massgabe ihres Obsiegens oder Unterliegens. Das Nichteintreten auf das Rechtsmittel der Privatklägerin kommt einem Unterliegen gleich (Art. 428 Abs. 1 StPO). Mangels erkennbarer Umtriebe sind keine Entschädigungen zuzusprechen. Die Gerichts- gebühr ist auf Fr. 600.– festzusetzen.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