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SB190042 vom 16. Mai 2019</w:t>
      </w:r>
    </w:p>
    <w:p>
      <w:r>
        <w:t>ZH Obergericht, 2019-05-16, DE</w:t>
      </w:r>
    </w:p>
    <w:p>
      <w:r>
        <w:rPr>
          <w:b/>
        </w:rPr>
        <w:t xml:space="preserve">Quelle: </w:t>
      </w:r>
      <w:r>
        <w:t>https://mcp.opencaselaw.ch/entscheid/zh_obergericht_SB190042</w:t>
      </w:r>
    </w:p>
    <w:p>
      <w:r>
        <w:t>FR: ZH_OBERGERICHT SB190042 du 16 mai 2019</w:t>
      </w:r>
    </w:p>
    <w:p>
      <w:r>
        <w:t>IT: ZH_OBERGERICHT SB190042 del 16 maggio 2019</w:t>
      </w:r>
    </w:p>
    <w:p>
      <w:pPr>
        <w:pStyle w:val="Heading2"/>
      </w:pPr>
      <w:r>
        <w:t>Erwägungen</w:t>
      </w:r>
    </w:p>
    <w:p>
      <w:r>
        <w:rPr>
          <w:b/>
        </w:rPr>
        <w:t>E. 1</w:t>
      </w:r>
    </w:p>
    <w:p>
      <w:r>
        <w:t>Verfahrensgang Mit Urteil des Bezirksgerichts Zürich, 2. Abteilung, vom 24. Oktober 2018 wurde der Beschuldigte des mehrfachen Diebstahls im Sinne von Art. 139 Ziffer 1 StGB, der mehrfachen Sachbeschädigung im Sinne von Art. 144 Abs. 1 StGB sowie des mehrfachen Hausfriedensbruchs im Sinne von Art. 186 StGB schuldig gespro- chen. Er wurde mit einer unbedingten Freiheitsstrafe von 26 Monaten bestraft, wovon bis zum Urteilszeitpunkt 161 Tage durch Untersuchungs- und Sicherheits- haft erstanden waren. Der Beschuldigte wurde in Anwendung von Art. 66a Abs. 1 lit. d StGB für die Dauer von 10 Jahren aus dem Gebiet der Schweiz verwiesen. Zudem wurde die Ausschreibung der Landesverweisung im Schengener Informa- tionssystem angeordnet. Die Schadenersatzbegehren der Privatkläger B._____ und C._____ wurden auf den Weg des Zivilprozesses verwiesen und das Genug- tuungsbegehren des Privatklägers C._____ wurde abgewiesen. Weiter wurde über diverse Gegenstände entschieden. Die Kosten des Vorverfahrens und des gerichtlichen Verfahrens, ausgenommen diejenigen der amtlichen Verteidigung, wurden dem Beschuldigten auferlegt (Urk. 47 S. 52). Gegen dieses Urteil vom 24. Oktober 2018 liess der Beschuldigte mit Eingabe seiner amtlichen Verteidigerin vom 18. Oktober 2018 [recte wohl 25. Oktober 2018] fristgerecht Berufung anmelden (Urk. 40). Am 11. Februar 2019 wurde die Berufungserklärung fristgerecht eingereicht (Urk. 50). Innert gesetzter Frist er- klärte die Staatsanwaltschaft den Verzicht auf Anschlussberufung und beantragte die Bestätigung des vorinstanzlichen Urteils. Gleichzeitig führte sie aus, sich am weiteren Verfahren nicht aktiv beteiligen zu wollen und ersuchte um Dispensation von der Berufungsverhandlung (Urk. 54).</w:t>
      </w:r>
    </w:p>
    <w:p>
      <w:r>
        <w:t>- 6 - Mit Präsidialverfügung vom 3. April 2019 wurde der amtlichen Verteidigerin Frist angesetzt, um sich zur Frage der Fortsetzung der Sicherheitshaft zu äussern (Urk. 56). Mit Schreiben vom 4. April 2019 erklärte die amtliche Verteidigerin, in dieser Angelegenheit werde nicht opponiert, da mit den Berufungsanträgen die Dauer der Freiheitsstrafe und deren Vollstreckbarkeit nicht infrage gestellt worden sei (Urk. 57). In der Folge wurde die Sicherheitshaft mit Präsidialverfügung vom 10. April 2019 bis zum Entscheid der Berufungsinstanz in der Sache verlängert (Urk. 53). Mit Eingabe vom 10. Mai 2019 teilte die Verteidigung mit, dass Antrag 1 der Beru- fungserklärung zurückgezogen und die Verurteilung des Beschuldigten wegen Sachbeschädigung bezüglich Dossier 4 akzeptiert werde (Urk. 64). Zur Berufungsverhandlung erschien der Beschuldigte in Begleitung seiner amt- lichen Verteidigerin (Prot. II S. 5). Im Anschluss an die Berufungsverhandlung wurde das Urteil mündlich eröffnet, begründet und im Dispositiv den Parteien mitgeteilt. Sodann verfügte die Verfahrensleitung, dass die Sicherheitshaft des Beschuldigten zur Sicherung des Strafvollzugs, längstens bis zum konkreten Strafantritt des Beschuldigten, verlängert werde (Prot. II S. 7 ff.; Urk. 70).</w:t>
      </w:r>
    </w:p>
    <w:p>
      <w:r>
        <w:rPr>
          <w:b/>
        </w:rPr>
        <w:t>E. 1.1</w:t>
      </w:r>
    </w:p>
    <w:p>
      <w:r>
        <w:t>Die Vorinstanz hat den Beschuldigten im Sinne von Art. 66a Abs. 1 StGB für die Dauer von 10 Jahren des Landes verwiesen. Betreffend die allgemeinen</w:t>
      </w:r>
    </w:p>
    <w:p>
      <w:r>
        <w:t>- 7 - Voraussetzungen der obligatorischen Landesverweisung und dem Vorliegen einer Katalogtat (Diebstahl in Verbindung mit Hausfriedensbruch) kann auf die zu- treffenden Ausführungen der Vorinstanz verwiesen werden (Urk. 47 S. 45 f.).</w:t>
      </w:r>
    </w:p>
    <w:p>
      <w:r>
        <w:rPr>
          <w:b/>
        </w:rPr>
        <w:t>E. 1.2</w:t>
      </w:r>
    </w:p>
    <w:p>
      <w:r>
        <w:t>Die Einbrüche gemäss Dossier 1 und 2 fanden vor Inkrafttreten der Be- stimmungen über die Landesverweisung statt, weshalb diese mit der Vorinstanz (Urk. 47 S. 46) für die Frage der Anordnung einer Landesverweisung nicht zu berücksichtigen sind.</w:t>
      </w:r>
    </w:p>
    <w:p>
      <w:r>
        <w:rPr>
          <w:b/>
        </w:rPr>
        <w:t>E. 1.3</w:t>
      </w:r>
    </w:p>
    <w:p>
      <w:r>
        <w:t>Der Einbruch vom Oktober 2017 gemäss Dossier 4 erfolgte hingegen nach Inkrafttreten der Bestimmungen über die Landesverweisung. Der Beschuldigte hat sich damit einer Katalogtat (Diebstahl in Verbindung mit Hausfriedensbruch) schuldig gemacht, was gemäss Art. 66a Abs. 1 lit. d StGB eine obligatorische Landesverweisung für fünf bis 15 Jahre aus der Schweiz zur Folge hat, soweit nicht ausnahmsweise die Härtefallklausel greift (Art. 66a Abs. 2 StGB). Der Be- schuldigte ist Staatsangehöriger von Serbien, welches kein Mitgliedsstaat des Schengen-Übereinkommens ist, mithin ein Drittstaatangehöriger. Er verfügt auch in keinem anderen Mitgliedsstaat über ein Aufenthaltsrecht. Das Verhältnis zwi- schen dem Landesrecht und Freizügigkeitsabkommen (Abkommen zwischen der Schweizerischen Eidgenossenschaft einerseits und der Europäischen Gemein- schaft und ihren Mitgliedsstaaten andererseits über die Freizügigkeit vom 21. Juni 1999 [SR0.142.112.681]) ist damit nicht zu prüfen.</w:t>
      </w:r>
    </w:p>
    <w:p>
      <w:r>
        <w:rPr>
          <w:b/>
        </w:rPr>
        <w:t>E. 1.4</w:t>
      </w:r>
    </w:p>
    <w:p>
      <w:r>
        <w:t>Die Verteidigung bringt zunächst zusammengefasst vor, im vorliegenden Fall führe ein einziger Einbruchsdiebstahl in Kombination mit dem Antragsdelikt des Hausfriedensbruchs dazu, dass eine Katalogtag der obligatorischen Landes- verweisung vorliege. Mithin sei es dem Entscheid einer Privatperson überlassen, ob der Beschuldigte des Landes verwiesen werde. Die Delikte, welche der Be- schuldigte vor Inkrafttreten der Landesverweisung begangen habe, dürften auf- grund der Rückwirkungsverbotes von Art. 2 Abs. 1 StGB nicht berücksichtigt wer- den. Der Beschuldigte habe weder die Sicherheit von Menschen gefährdet noch handle es sich um einen sehr erheblichen Deliktsbetrag. Unter Berücksichtigung des Gleichbehandlungsgebotes (Art. 8 BV) mit Schweizer Staatsangehörigen müsse zudem im Falle der Anordnung einer Landesverweisung dies bei der Straf-</w:t>
      </w:r>
    </w:p>
    <w:p>
      <w:r>
        <w:t>- 8 - zumessung berücksichtigt werden, da die Landesverweisung ebenfalls einen Strafcharakter habe. Dem vorinstanzlichen Urteil sei kein Hinweis darauf zu ent- nehmen, dass die faktisch zusätzliche Strafe der Landesverweisung berück- sichtigt worden wäre. Es erscheine daher vorliegend richtig, von der Ausfällung einer Landesverweisung abzusehen (Urk. 68 S. 2 ff.).</w:t>
      </w:r>
    </w:p>
    <w:p>
      <w:r>
        <w:rPr>
          <w:b/>
        </w:rPr>
        <w:t>E. 1.5</w:t>
      </w:r>
    </w:p>
    <w:p>
      <w:r>
        <w:t>Diesen Ausführungen der Verteidigung ist nicht beizupflichten. Es trifft zwar zu, dass die vom Beschuldigten begangenen Delikte vor Inkrafttreten der Massnahme der Landesverweisung insofern nicht berücksichtigt werden dürfen, als es um die Zulässigkeit der Anordnung einer Landesverweisung (Art. 66a oder Art. 66abis StGB) an sich geht. Hingegen entspricht es der aktuellen bundes- gerichtlichen Rechtsprechung, dass für die Beurteilung der Rückfallgefahr des Beschuldigten bzw. des öffentlichen Interesses an dessen Fernhaltung auch vor dem 1. Oktober 2016 begangene Straftaten berücksichtigt werden dürfen. Dies – so das Bundesgericht – stellt keine Verletzung des Rückwirkungsverbotes dar (vgl. Urteile des Bundesgerichts 6B_1043/2017 vom 14. August 2018 E. 3.2.2; 6B_651/2018 vom 17. Oktober 2018 E. 8.3.3.). Im Weiteren räumt die obligato- rische Landesverweisung dem Gericht kein Ermessen ein, sofern nicht aus- nahmsweise ein schwerer persönlicher Härtefall vorliegt. Das Gericht hat dem Untersuchungsgrundsatz folgend das Vorliegen eines persönlichen Härtefalls zu prüfen sowie die öffentlichen und privaten Interesse im Sinne von Art. 66a Abs. 2 StGB zu bestimmen und gegeneinander abzuwägen.</w:t>
      </w:r>
    </w:p>
    <w:p>
      <w:r>
        <w:rPr>
          <w:b/>
        </w:rPr>
        <w:t>E. 1.6</w:t>
      </w:r>
    </w:p>
    <w:p>
      <w:r>
        <w:t>Wie die Vorinstanz zutreffend festgestellt hat und auch seitens des Be- schuldigten bzw. der Verteidigung nicht in Frage gestellt wird (vgl. Urk. 68 S. 1), fällt eine Anwendung der Härtefallklausel nach Art. 66a Abs. 2 StGB vorliegend ausser Betracht. Der Beschuldigte ist weder in der Schweiz geboren noch hier aufgewachsen. Er verfügt über keine persönliche oder familiäre Bindung zur Schweiz und besass zu keinem Zeitpunkt über eine Aufenthaltsberechtigung.</w:t>
      </w:r>
    </w:p>
    <w:p>
      <w:r>
        <w:rPr>
          <w:b/>
        </w:rPr>
        <w:t>E. 1.7</w:t>
      </w:r>
    </w:p>
    <w:p>
      <w:r>
        <w:t>Der Beschuldigte hielt sich in der Schweiz einzig als Tourist zwecks Bege- hung von Straftaten auf. Am 17. Oktober 2001 wurde gegen ihn eine unbefristete Wegweisung ausgesprochen. Er setzte sich darüber hinweg und wurde deshalb sowie wegen der Begehung zahlreicher Einbrüche mehrfach verurteilt (Urk. 48):</w:t>
      </w:r>
    </w:p>
    <w:p>
      <w:r>
        <w:t>- 9 - − Mit Urteil der II. Strafkammer des Obergerichts des Kantons Zürich vom</w:t>
      </w:r>
    </w:p>
    <w:p>
      <w:r>
        <w:rPr>
          <w:b/>
        </w:rPr>
        <w:t>E. 2</w:t>
      </w:r>
    </w:p>
    <w:p>
      <w:r>
        <w:t>Dauer der Landesverweisung</w:t>
      </w:r>
    </w:p>
    <w:p>
      <w:r>
        <w:rPr>
          <w:b/>
        </w:rPr>
        <w:t>E. 2.1</w:t>
      </w:r>
    </w:p>
    <w:p>
      <w:r>
        <w:t>Der Botschaft des Bundesrats zufolge liegt die Bemessung der Dauer im Ermessen des Gerichts. Dieses hat sich am Verhältnismässigkeitsgrundsatz zu orientieren hat (Botschaft zur Änderung des Strafgesetzbuchs und des Militär- strafgesetzes vom 26. Juni 2013, BBl 2013 5975 ff., S. 6021). Dabei sind insbe-</w:t>
      </w:r>
    </w:p>
    <w:p>
      <w:r>
        <w:t>- 10 - sondere die privaten Interessen des zu einer Landesverweisung Verurteilten mit dem je nach Art der begangenen Rechtsgutverletzung unterschiedlich starken öffentlichen Entfernungs- und Fernhalteinteresse miteinander in Einklang zu bringen (BSK StGB I-ZURBRÜGG/HRUSCHKA, 2. Aufl., Art. 66a N 28). Zur altrecht- lichen Landesverweisung statuierte das Bundesgericht eine gewisse Korrelation zwischen der Höhe der ausgesprochenen Sanktion und der Dauer der Landes- verweisung (vgl. BGE 123 IV 107). Es gibt keinen Anlass, unter neuem Recht von dieser bundesgerichtlichen Auffassung abzuweichen. Die Dauer der ausgespro- chenen Landesverweisung ist wegen ihres Sanktioncharakters auch unter Be- rücksichtigung der allgemeinen Strafzumessungskritierien nach dem Verschulden des Täters zu bemessen (BSK StGB I-ZURBRÜGG/HRUSCHKA, a.a.O., Art. 66a N 29).</w:t>
      </w:r>
    </w:p>
    <w:p>
      <w:r>
        <w:rPr>
          <w:b/>
        </w:rPr>
        <w:t>E. 2.2</w:t>
      </w:r>
    </w:p>
    <w:p>
      <w:r>
        <w:t>Vorliegend erwuchs die vorinstanzlich ausgefällte unbedingte Freiheitsstra- fe von 26 Monaten in Rechtskraft. Das Verschulden wurde als keineswegs mehr leicht taxiert. Angesichts dieser Strafhöhe erscheint die Anordnung der obligatori- schen Landesverweisung mit gesetzlicher Minimalfrist nicht angemessen. Der Beschuldigte ist als Kriminaltourist in die Schweiz eingereist. Er bezweckte offen- bar, hier bei Einbruchdiebstählen in kurzer Zeit möglichst viel Geld zu erbeuten. Er weist keinerlei andere Beziehungen zur Schweiz auf. Interessen, die es recht- fertigen würden, ihm die Einreise in die Schweiz innert absehbarer Zeit wieder zu ermöglichen, sind keine ersichtlich und wurden auch nicht geltend gemacht. Der Beschuldigte gab im Rahmen der heutigen Befragung vielmehr an, er habe nicht vor, wieder in die Schweiz einzureisen (Urk. 67 S. 7). Demnach greift auch das von der Verteidigung vorgebrachte Argument der Ungleichbehandlung mit Schweizer Bürgern nicht, da die Landesverweisung einerseits grundsätzlich eine Massnahme darstellt und andererseits für den Beschuldigten, der keinerlei Bezug zur Schweiz hat und auch nicht wieder einreisen möchte, ohnehin keinen bzw. einen sehr geringfügigen Strafcharakter hat (vgl. Urk. 68 S. 4). Sodann ist mit der Vorinstanz zu berücksichtigen, dass dem Beschuldigten eine hohe Rückfallgefahr attestiert werden muss. So hielten ihn weder frühere Wegweisungen noch vollzo- gene Freiheitsstrafen davon ab, erneut in die Schweiz einzureisen, um Einbrüche zu begehen. Dieser Umstand bzw. die zahlreichen einschlägigen Vorstrafen er-</w:t>
      </w:r>
    </w:p>
    <w:p>
      <w:r>
        <w:t>- 11 - höhen das öffentliche Interesse der Schweiz an einer längeren Landesverweisung des Beschuldigten. Der vom Beschuldigten anlässlich der Berufungsverhandlung vorgebrachte Einwand, man habe ihn an der Grenze einfach nicht aufgehalten, ihm mithin damit die Gelegenheit für die Delinquenz geboten, und er sei jeweils nur zufällig in der Schweiz gewesen, wobei ihm dann das Geld ausgegangen sei, kann in keiner Art und Weise dem Beschuldigten zugute gehalten werden, zumal dies offensichtlich blosse Schutzbehauptungen bzw. fragwürdige Erklärungs- versuche darstellen (Urk. 67 S. 6 f.). Beim Beschuldigten handelt es sich letztlich einfach um einen Kriminaltouristen, die gemäss einem aktuellen Entscheid des Bundesgerichts ohnehin auszuweisen sind (vgl. dazu Urteil 6B_770/2018 vom 24. September 2018 E. 1.1). Die Grundlage der Landesverweisung bildet entge- gen den Ausführungen der Verteidigung nicht das AIG (bzw. Art. 67 AIG) sondern das StGB, weshalb nicht eine Landesverweisung von maximal fünf Jahren in Be- tracht zu ziehen ist, sondern der gesetzliche Rahmen fünf bis 15 Jahre beträgt (Urk. 68 S. 4).</w:t>
      </w:r>
    </w:p>
    <w:p>
      <w:r>
        <w:rPr>
          <w:b/>
        </w:rPr>
        <w:t>E. 2.3</w:t>
      </w:r>
    </w:p>
    <w:p>
      <w:r>
        <w:t>Unter Berücksichtigung der genannten Umstände und des Verschuldens ist es mit der Vorinstanz angemessen, den Beschuldigten für die Dauer von 10 Jahren des Landes zu verweisen.</w:t>
      </w:r>
    </w:p>
    <w:p>
      <w:r>
        <w:rPr>
          <w:b/>
        </w:rPr>
        <w:t>E. 3</w:t>
      </w:r>
    </w:p>
    <w:p>
      <w:r>
        <w:t>Schengener Informationssystem</w:t>
      </w:r>
    </w:p>
    <w:p>
      <w:r>
        <w:rPr>
          <w:b/>
        </w:rPr>
        <w:t>E. 3.1</w:t>
      </w:r>
    </w:p>
    <w:p>
      <w:r>
        <w:t>Die Vorinstanz hat die Ausschreibung der Landesverweisung im Schenge- ner Informationssystem (SIS) angeordnet (Urk. 47 S. 48 ff.; S. 53)</w:t>
      </w:r>
    </w:p>
    <w:p>
      <w:r>
        <w:rPr>
          <w:b/>
        </w:rPr>
        <w:t>E. 3.2</w:t>
      </w:r>
    </w:p>
    <w:p>
      <w:r>
        <w:t>Mit der Berufung wendet sich der Beschuldigte gegen diese Ausschreibung und macht wie vor Vorinstanz geltend, die Ausschreibung betreffe nur Delikte, die mit mindestens einem Jahr Freiheitsstrafe bedroht seien, was bei Diebstahl nicht der Fall sei. Die Verteidigung beruft sich dabei auf ein Urteil des Obergerichts, II. Strafkammer, SB170477 vom 24. April 2018 (Urk. 68 S. 5). Eventualiter bringt die Verteidigung vor, würde man auf eine tatsächlich ausgefällte Strafe von min- destens einem Jahr abstellen, so sei vorliegend zu berücksichtigen, dass für die Landesverweisung nur ein Einbruchdiebstahl massgebend und relevant sei, und</w:t>
      </w:r>
    </w:p>
    <w:p>
      <w:r>
        <w:t>- 12 - für diesen Diebstahl bei einer Gesamtstrafe von 26 Monaten, keine Freiheitsstrafe von mindestens 12 Monaten resultiere (Urk. 68 S. 6).</w:t>
      </w:r>
    </w:p>
    <w:p>
      <w:r>
        <w:rPr>
          <w:b/>
        </w:rPr>
        <w:t>E. 3.3</w:t>
      </w:r>
    </w:p>
    <w:p>
      <w:r>
        <w:t>Am 1. März 2017 ist die Verordnung über die Einführung der Landes- verweisung in Kraft getreten. Art. 20 der Verordnung über den nationalen Teil des Schengener Informationssystems und das SIRENE-Büro (N-SIS-Verordnung vom</w:t>
      </w:r>
    </w:p>
    <w:p>
      <w:r>
        <w:rPr>
          <w:b/>
        </w:rPr>
        <w:t>E. 3.4</w:t>
      </w:r>
    </w:p>
    <w:p>
      <w:r>
        <w:t>Die Vorinstanz begründete den Eintrag im SIS damit, dass Art. 24 Abs. 2 der SIS-II-VO dem Gericht mit dem Terminus "insbesondere" einen gewissen Ermessensspielraum einräume. Sodann sei entgegen dem von der Verteidigung zitierten Obergerichtsentscheid auf die ausgefällte Strafe von 26 Monaten abzu- stellen. Dies führe vorliegend zwangsläufig dazu, dass die Ausschreibung im SIS zu erfolgen habe (Urk. 47 S. 50).</w:t>
      </w:r>
    </w:p>
    <w:p>
      <w:r>
        <w:t>- 13 -</w:t>
      </w:r>
    </w:p>
    <w:p>
      <w:r>
        <w:rPr>
          <w:b/>
        </w:rPr>
        <w:t>E. 3.5</w:t>
      </w:r>
    </w:p>
    <w:p>
      <w:r>
        <w:t>Mit der Vorinstanz ist vorab festzuhalten, dass Art. 24 Abs. 2 der SIS-II-VO mit Blick auf das nationale Strafrecht, dass nur für besonders schwere Straftaten eine abstrakte Mindeststrafe von einem Jahr vorsieht, so auszulegen ist, dass für die Zulässigkeit einer Ausschreibung auf eine ausgefällte Freiheitsstrafe von mindestens einem Jahr ankommt. Für die Auslegung anhand der nationalen Ge- gebenheiten des materiellen Strafrechts spricht auch der Verweis in Absatz 1 der Bestimmung auf die nationalen Verfahrensregeln und Rechtsbehelfe. Da im vor- liegenden Fall von der Vorinstanz eine Freiheitsstrafe von 26 Monaten ausgefällt wurde, ist die Zulässigkeit der Ausschreibung entgegen der Auffassung der Ver- teidigung demnach zu bejahen. Wie bereits dargelegt, dürfen bei der Beurteilung der Landesverweisung sämtliche Straftaten des Beschuldigten berücksichtigt werden. Dies stellt keine Verletzung des Rückwirkungsverbotes dar (vgl. hiervor Ziffer 1.5). Massgebend ist die Strafe, die das vorinstanzliche Gericht aussprach und nicht diejenige, welche es für die Katalogtag, vorliegend den Einbruch- diebstahl im Oktober 2017, als (hypothetisch) angemessen hielt. Die Ausschreibung im SIS hält im Übrigen auch einer Verhältnismässigkeits- prüfung stand (vgl. dazu BSK StGB I-ZURBRÜGG/HRUSCHKA, a.a.O., Vor Art. 66a-66d, N 95 f.). Vorliegend besteht kein Anlass, die Ausschreibung im SIS nicht anzuordnen. Beim Beschuldigten handelt es sich um einen klassischen Wiederholungstäter für Einbruchdiebstähle bzw. Eigentumsdelikte. Der Beschul- digte führte aus, wie er jeweils als Tourist durch Europa gereist sei und ihm dann einfach "zufällig" in der Schweiz das Geld ausgegangen sei (Urk. 67 S. 6). Mithin handelt es sich beim Beschuldigten um eine exemplarischen Kriminaltouristen, der nicht nur für die Schweiz, sondern für den gesamten Schengen-Raum eine Gefahr für die öffentliche Ordnung und Sicherheit darstellt. Daran vermag auch der Umstand nichts zu ändern, dass der Beschuldigte vorbrachte, nach Norwegen oder Island gehen zu wollen, um dort arbeiten zu können, zumal der Beschuldigte lediglich angab, sich während seiner Reisen durch Europa über die beruflichen Möglichkeiten informiert zu haben (Urk. 67 S. 5).</w:t>
      </w:r>
    </w:p>
    <w:p>
      <w:r>
        <w:rPr>
          <w:b/>
        </w:rPr>
        <w:t>E. 3.6</w:t>
      </w:r>
    </w:p>
    <w:p>
      <w:r>
        <w:t>Nach dem Gesagten ist vorliegend eine Ausschreibung der Landes- verweisung im SIS anzuordnen.</w:t>
      </w:r>
    </w:p>
    <w:p>
      <w:r>
        <w:t>- 14 - III. Kosten- und Entschädigungsfolgen Der Beschuldigte unterliegt mit seiner Berufung vollumfänglich. Ausgangsgemäss sind ihm die Kosten des Berufungsverfahren aufzuerlegen, mit Ausnahme der- jenigen der amtlichen Verteidigung. Die Kosten der amtlichen Verteidigung in der Höhe von Fr. 4'007.60 werden auf die Gerichtskasse genommen. Die Rück- zahlungspflicht des Beschuldigten bleibt gemäss Art. 135 Abs. 4 StPO vorbe- halten. Die Gerichtsgebühr ist praxisgemäss auf Fr. 2'500.– festzusetzen. Es wird beschlossen: 1. Es wird festgestellt, dass das Urteil des Bezirksgerichts Zürich, 2. Abteilung, vom 24. Oktober 2018 wie folgt in Rechtskraft erwachsen ist: 1. Der Beschuldigte A._____ ist schuldig − des mehrfachen Diebstahls im Sinne von Art. 139 Ziffer 1 StGB, − der mehrfachen Sachbeschädigung im Sinne von Art. 144 Abs. 1 StGB sowie − des mehrfachen Hausfriedensbruchs im Sinne von Art. 186 StGB. 2. Der Beschuldigte wird bestraft mit 26 Monaten Freiheitsstrafe, wovon bis und mit heute 161 Tage durch Untersuchungs- und Sicherheitshaft erstanden sind. 3. Der Vollzug der Freiheitsstrafe wird nicht aufgeschoben. 4. … … 5. Der Privatkläger B._____ wird mit seinem Schadenersatzbegehren auf den Weg des Zivil- prozesses verwiesen. 6. Der Privatkläger C._____ wird mit seinem Schadenersatzbegehren auf den Weg des Zivil- prozesses verwiesen. Das Genugtuungsbegehren des Privatklägers C._____ wird abgewie- sen.</w:t>
      </w:r>
    </w:p>
    <w:p>
      <w:r>
        <w:t>- 15 - 7. Die folgenden sichergestellten und im Forensischen Institut Zürich unter der Referenz- nummer K151102-091 / 65014735 lagernden Gegenstände werden eingezogen und nach Eintritt der Rechtskraft des Urteils vernichtet: − Tatort-Fotografie (A008'692'793) − DNA-Spur - Wattetupfer (Asservaten-Nr. A008'692'884) − DNA-Spur - Scenesafe FAST (Asservaten-Nr. A008'692'895) − Mikrospuren - Klebbandasservat (Asservaten-Nr. A008'692'908) − DNA-Spur - Wattetupfer (Asservaten-Nr. A008'692'997) − Vergleichs-WSA (Asservaten-Nr. A008'693'003) − Vergleichs-WSA (Asservaten-Nr. A008'693'014) − Daktyloskopische Spur - Folie (Asservaten-Nr. A008'693'081) − DNA-Spur - Wattetupfer (Asservaten-Nr. A008'693'092) − Vergleichsabdrücke-Dakty (Asservaten-Nr. A008'693'138) − Vergleichsabdrücke-Dakty (Asservaten-Nr. A008'693'150) − DNA-Spur - Wattetupfer (Asservaten-Nr. A008'693'172)</w:t>
      </w:r>
    </w:p>
    <w:p>
      <w:r>
        <w:rPr>
          <w:b/>
        </w:rPr>
        <w:t>E. 8</w:t>
      </w:r>
    </w:p>
    <w:p>
      <w:r>
        <w:t>Die folgenden sichergestellten und im Forensischen Institut Zürich unter der Referenz- nummer K160327-005 / 66190781 lagernden Gegenstände werden eingezogen und nach Eintritt der Rechtskraft des Urteils vernichtet: − Tatort-Fotografie (Asservaten-Nr. A009'157'453) − DNA-Spur - Wattetupfer (Asservaten-Nr. A009'157'464) − DNA-Spur - Wattetupfer (Asservaten-Nr. A009'158'707) − Werkzeug-/Schartenspur - Eindruck-Spur (Asservaten-Nr. A009'158'989) − Vergleichs-WSA (Asservaten-Nr. A009'159'017) − Vergleichs-WSA (Asservaten-Nr. A009'159'028)</w:t>
      </w:r>
    </w:p>
    <w:p>
      <w:r>
        <w:rPr>
          <w:b/>
        </w:rPr>
        <w:t>E. 9</w:t>
      </w:r>
    </w:p>
    <w:p>
      <w:r>
        <w:t>Die folgenden sichergestellten und im Forensischen Institut Zürich unter der Referenz- nummer K161229-010 / 68517204 lagernden Gegenstände werden eingezogen und nach Eintritt der Rechtskraft des Urteils vernichtet: − Tatort-Fotografie (Asservaten-Nr. A009'976'027) − DNA-Spur - Wattetupfer (Asservaten-Nr. A009'976'414) − DNA-Spur - Wattetupfer (Asservaten-Nr. A009'976'436) − DNA-Spur - Wattetupfer (Asservaten-Nr. A009'976'469) − Schuhabdruckspur - Folie (Asservaten-Nr. A009'976'481) − Schuhabdruckspur - Folie (Asservaten-Nr. A009'976'505) − Schuhabdruckspur - Folie (Asservaten-Nr. A009'976'516) − Mikrospuren - Klebbandasservat (Asservaten-Nr. A009'976'527)</w:t>
      </w:r>
    </w:p>
    <w:p>
      <w:r>
        <w:t>- 16 -</w:t>
      </w:r>
    </w:p>
    <w:p>
      <w:r>
        <w:rPr>
          <w:b/>
        </w:rPr>
        <w:t>E. 10</w:t>
      </w:r>
    </w:p>
    <w:p>
      <w:r>
        <w:t>Die folgenden sichergestellten und im Forensischen Institut Zürich unter der Referenz- nummer K171020-078 / 71172695 lagernden Gegenstände werden eingezogen und nach Eintritt der Rechtskraft des Urteils vernichtet: − Tatort-Fotografie (Asservaten-Nr. A010'879'933) − DNA-Spur - Wattetupfer (Asservaten-Nr. A010'879'955) − DNA-Spur - Wattetupfer (Asservaten-Nr. A010'879'977) − Werkzeug-/Schartenspur - Eindruck-Spur (Asservaten-Nr. A010'880'009) − Mikrospuren - Klebbandasservat (Asservaten-Nr. A010'880'010) − DNA-Spur - Wattetupfer (Asservaten-Nr. A010'880'021)</w:t>
      </w:r>
    </w:p>
    <w:p>
      <w:r>
        <w:rPr>
          <w:b/>
        </w:rPr>
        <w:t>E. 11</w:t>
      </w:r>
    </w:p>
    <w:p>
      <w:r>
        <w:t>Die Gerichtsgebühr wird angesetzt auf: Fr. 4'200.00 ; die weiteren Kosten betragen: Fr. 1'100.00 Gebühr für das Vorverfahren Fr. 1'113.75 Auslagen Institut für Rechtsmedizin (DNA-Gutachten) Fr. 4'140.00 Auslagen Forensisches Institut Fr. 8'294.30 amtliche Verteidigung Allfällige weitere Kosten bleiben vorbehalten.</w:t>
      </w:r>
    </w:p>
    <w:p>
      <w:r>
        <w:rPr>
          <w:b/>
        </w:rPr>
        <w:t>E. 12</w:t>
      </w:r>
    </w:p>
    <w:p>
      <w:r>
        <w:t>Die Kosten der Untersuchung und des gerichtlichen Verfahrens, ausgenommen diejenigen der amtlichen Verteidigung, werden dem Beschuldigten auferlegt. Die Kosten der amtlichen Verteidigung werden einstweilen auf die Gerichtskasse genommen; vorbehalten bleibt eine Nachforderung gemäss Art. 135 Abs. 4 StPO.</w:t>
      </w:r>
    </w:p>
    <w:p>
      <w:r>
        <w:rPr>
          <w:b/>
        </w:rPr>
        <w:t>E. 13</w:t>
      </w:r>
    </w:p>
    <w:p>
      <w:r>
        <w:t>[Mitteilungen]</w:t>
      </w:r>
    </w:p>
    <w:p>
      <w:r>
        <w:rPr>
          <w:b/>
        </w:rPr>
        <w:t>E. 14</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