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SB190009 vom 12. November 2019</w:t>
      </w:r>
    </w:p>
    <w:p>
      <w:r>
        <w:t>ZH Obergericht, 2019-11-12, DE</w:t>
      </w:r>
    </w:p>
    <w:p>
      <w:r>
        <w:rPr>
          <w:b/>
        </w:rPr>
        <w:t xml:space="preserve">Quelle: </w:t>
      </w:r>
      <w:r>
        <w:t>https://mcp.opencaselaw.ch/entscheid/zh_obergericht_SB190009</w:t>
      </w:r>
    </w:p>
    <w:p>
      <w:r>
        <w:t>FR: ZH_OBERGERICHT SB190009 du 12 novembre 2019</w:t>
      </w:r>
    </w:p>
    <w:p>
      <w:r>
        <w:t>IT: ZH_OBERGERICHT SB190009 del 12 novembre 2019</w:t>
      </w:r>
    </w:p>
    <w:p>
      <w:pPr>
        <w:pStyle w:val="Heading2"/>
      </w:pPr>
      <w:r>
        <w:t>Erwägungen</w:t>
      </w:r>
    </w:p>
    <w:p>
      <w:r>
        <w:rPr>
          <w:b/>
        </w:rPr>
        <w:t>E. 1</w:t>
      </w:r>
    </w:p>
    <w:p>
      <w:r>
        <w:t>Das Bezirksgericht Zürich, 7. Abteilung, sprach den Beschuldigten 1, A._____, mit Urteil vom 19. September 2018 des versuchten Betrugs (Dossier 4) sowie der Veruntreuung (Dossier 6) schuldig und bestrafte ihn mit einer bedingten Geldstrafe von 210 Tagessätzen zu Fr. 70.–. Betreffend einem von mehreren wei- teren Vorwürfen stellte es das Strafverfahren ein und im Übrigen sprach es ihn frei. Die Beschuldigte 2, B._____, wurde mit demselben Urteil des versuchten Be- trugs (Dossier 4) schuldig gesprochen und zu einer bedingten Geldstrafe von 160</w:t>
      </w:r>
    </w:p>
    <w:p>
      <w:r>
        <w:t>- 7 - Tagessätzen zu Fr. 180.– verurteilt. Auch bei ihr wurde das Strafverfahren betref- fend einem von mehreren weiteren Vorwürfen eingestellt. Im Übrigen erging ein Freispruch. Weiter sprach die Vorinstanz die Beschuldigten 3 und 4, C._____ und D._____, vollumfänglich frei. Schliesslich entschied sie über diverse beschlag- nahmte Gegenstände, die Zivilklagen und die Kosten- und Entschädigungsfolgen (Urk. 98).</w:t>
      </w:r>
    </w:p>
    <w:p>
      <w:r>
        <w:rPr>
          <w:b/>
        </w:rPr>
        <w:t>E. 2</w:t>
      </w:r>
    </w:p>
    <w:p>
      <w:r>
        <w:t>Gegen das mündlich eröffnete Urteil (Prot. I S. 35 ff.) liessen die Beschuldig- ten 1 und 2 mit Eingaben vom 21. September 2018 bzw. vom 26. September 2018 rechtzeitig Berufung anmelden (Urk. 92; Urk. 93; Art. 399 Abs. 1 StPO). Die Beschuldigten 3 (C._____) und 4 (D._____) ergriffen kein Rechtsmittel. Nach Er- halt des begründeten Urteils am 17. Dezember 2018 bzw. am 20. Dezember 2018 reichten die amtlichen Verteidigungen der Beschuldigten 1 und 2 mit ihren jeweili- gen Eingaben vom 4. Januar 2019 und vom 7. Januar 2019 fristwahrend ihre Be- rufungserklärungen ein (Urk. 97/2-3; Urk. 99; Urk. 100; vgl. Art. 399 Abs. 3 StPO). Mit Präsidialverfügung vom 21. Januar 2019 wurden die Berufungserklärungen der Beschuldigten 1 und 2 den Privatklägern sowie der Staatsanwaltschaft zuge- stellt und es wurde diesen Frist zur Erhebung einer Anschlussberufung oder Be- antragung eines Nichteintretens angesetzt (Urk. 103). Die Staatsanwaltschaft er- klärte mit Eingabe vom 25. Januar 2019, auf eine Anschlussberufung zu verzich- ten und beantragte die Bestätigung des vorinstanzlichen Urteils (Urk. 105). In der Folge wurden die Parteien auf den 12. November 2019 zur Berufungsverhandlung vorgeladen (Urk. 115).</w:t>
      </w:r>
    </w:p>
    <w:p>
      <w:r>
        <w:rPr>
          <w:b/>
        </w:rPr>
        <w:t>E. 3</w:t>
      </w:r>
    </w:p>
    <w:p>
      <w:r>
        <w:t>Nachdem die jeweiligen amtlichen Verteidiger der Beschuldigten 1 und 2 im März und August 2019 u.a. darum ersuchten, die Rechtskraft der Dispositivziffern 10 und 11 bereits vor Ergehen eines Berufungsurteils festzustellen (Urk. 114, 116 und 118), wurde diesem Ersuchen unter Berücksichtigung der konkreten Umstän- de und Wahrung der Rechte der übrigen Parteien (Urk. 119) mit Beschluss vom 29. August 2019 entsprochen (vgl. Urk. 120).</w:t>
      </w:r>
    </w:p>
    <w:p>
      <w:r>
        <w:rPr>
          <w:b/>
        </w:rPr>
        <w:t>E. 3.1</w:t>
      </w:r>
    </w:p>
    <w:p>
      <w:r>
        <w:t>Beide Beschuldigte obsiegen im Berufungsverfahren vollumfänglich. Somit sind die Kosten des Berufungsverfahrens auf die Gerichtskasse zu nehmen. Die zweitinstanzliche Gerichtsgebühr fällt daher ausser Ansatz. Die Kosten für ihre jeweiligen amtlichen Verteidigungen sind definitiv auf die Gerichtskasse zu neh- men.</w:t>
      </w:r>
    </w:p>
    <w:p>
      <w:r>
        <w:rPr>
          <w:b/>
        </w:rPr>
        <w:t>E. 3.2</w:t>
      </w:r>
    </w:p>
    <w:p>
      <w:r>
        <w:t>Rechtsanwalt lic. iur. X1._____ bezifferte sein Honorar für das Berufungs- verfahren als amtlicher Verteidiger auf Fr. 9'037.75 (Urk. 126). Dieser Aufwand steht im Einklang mit den Ansätzen der AnwGebV und erweist sich als angemes- sen. Allerdings ist er mit Bezug auf die von der Verteidigung etwas zu kurz ge- schätzte Dauer der Berufungsverhandlung nach oben zu korrigieren und auf Fr. 9'300.– (inkl. MwSt) festzusetzen.</w:t>
      </w:r>
    </w:p>
    <w:p>
      <w:r>
        <w:rPr>
          <w:b/>
        </w:rPr>
        <w:t>E. 3.2.1</w:t>
      </w:r>
    </w:p>
    <w:p>
      <w:r>
        <w:t>Gemäss Art. 182 StPO ziehen Staatsanwaltschaft und Gerichte eine oder mehrere sachverständige Personen bei, wenn sie nicht über die besonderen Kenntnisse und Fähigkeiten verfügen, die zur Feststellung oder Beurteilung eines Sachverhalts erforderlich sind. Die Anforderungen an die sachverständige Person sowie die bei deren Ernennung und bei der Erstellung des Gutachtens zu beach- tenden Vorschriften sind in Art. 183 ff. StPO geregelt. Gemäss Art. 184 Abs. 1 StPO ernennt die Verfahrensleitung die sachverständige Person. Sie erteilt ihr einen schriftlichen Auftrag, der u.a. die Bezeichnung der sachverständigen Per- son und allenfalls den Vermerk enthält, dass die sachverständige Person für die Ausarbeitung des Gutachtens weitere Personen unter ihrer Verantwortung einset- zen kann (Abs. 2 lit. a und b). Sie gibt den Parteien – ausser bei blossen Laborun- tersuchungen – vorgängig Gelegenheit, sich zur sachverständigen Person und zu den Fragen zu äussern und dazu eigene Anträge zu stellen (Art. 184 Abs. 3 StPO). Die sachverständige Person ist für das Gutachten persönlich verantwort- lich (Art. 185 Abs. 1 StPO). Sie hat das Gutachten schriftlich zu erstatten (Art. 187 Abs. 1 Satz 1 StPO). Waren an der Ausarbeitung weitere Personen beteiligt, so sind ihre Namen und die Funktion, die sie bei der Erstellung des Gutachtens hat-</w:t>
      </w:r>
    </w:p>
    <w:p>
      <w:r>
        <w:t>- 13 - ten, zu nennen (Art. 187 Abs. 1 Satz 2 StPO; vgl. zum Ganzen auch Urteil des Bundesgerichtes 6B_835/2017 vom 22. März 2018, E. 4.2.2). Bei der Auftragserteilung stehen die Person des Sachverständigen und das damit verbundene Vertrauen in deren Fachkompetenz und Unabhängigkeit im Vordergrund. Wird ein bestimmter Sachverständiger – im Einvernehmen mit den Parteien – bestellt und mit der Begutachtung betraut, hat er den Auftrag grund- sätzlich persönlich auszuführen. Eine Delegation seiner Aufgaben und seiner Verantwortung an Dritte ist nicht zulässig (Delegationsverbot; Urteile 6B_989/2017 vom 20. Dezember 2017 E. 2.3; 6B_265/2015 vom 3. Dezember 2015 E. 4.1.2). Hingegen ist der bestellte Sachverständige nicht verpflichtet, sämtliche für die Begutachtung notwendigen Tätigkeiten selber vorzunehmen. Er kann für untergeordnete Arbeiten Hilfspersonen heranziehen (Urteile 6B_918/2017 vom 20. Februar 2018 E. 3.2; 6B_989/2017 vom 20. Dezember 2017 E. 2.3; 6B_265/2015 vom 3. Dezember 2015 E. 4.1.2 mit Hinweis). Der Sachverständige kann darüber hinaus für die Ausarbeitung des Gutachtens weite- re Personen unter seiner Verantwortung einsetzen (Art. 184 Abs. 2 lit. b StPO). Zu denken ist etwa an den Einsatz eines/einer qualifizierten Mitarbeiters/Mitarbeiterin zur selbständigen Bearbeitung gewisser Teilaspekte des Gutachtens. Eine solche Weitergabe der gutachterlichen (Kern-) Aufgaben – d.h. des fachlichen Befunds und der Beurteilung, somit der Beantwortung der an den Gutachter gestellten Fragen – steht allerdings einerseits unter dem Vorbehalt der Ermächtigung durch die auftraggebende Strafbehörde (Urteile 6B_989/2017 vom 20. Dezember 2017 E. 2.3 und 2.5; 6B_265/2015 vom 3. Dezember 2015 E. 4.1.2) und ist anderer- seits im Gutachten transparent zu machen. Funktion sowie Art und Inhalt der Mit- wirkung der eingesetzten Personen sind offenzulegen (Art. 187 Abs. 1 StPO). Aus dem Gutachten muss ersichtlich sein, wie die Personen neben dem Sachverstän- digen eingesetzt worden sind, welche Qualifikationen ihnen zukommen und wie der Sachverständige seine Gesamtverantwortung wahrnehmen konnte bzw. wahrgenommen hat (Urteile 6B_989/2017 vom 20. Dezember 2017 E. 2.3; 6B_265/2015 vom 3. Dezember 2015 E. 4.1.2; 6B_884/2014 vom 8. April 2015 E.</w:t>
      </w:r>
    </w:p>
    <w:p>
      <w:r>
        <w:rPr>
          <w:b/>
        </w:rPr>
        <w:t>E. 3.2.2</w:t>
      </w:r>
    </w:p>
    <w:p>
      <w:r>
        <w:t>Vorliegend erfolgten zwar die Ernennung zum Sachverständigen und der Gutachtensauftrag gesetzeskonform (gestützt auf Art. 184 und Art. 189 StPO, vgl. Urk. D4/10/1 f.). Allerding basieren die im Gutachten gezogenen Schlussfolgerun- gen offensichtlich lediglich auf den unkritisch übernommenen Ergebnissen der G._____-Analyse sowie den technischen Angaben von einem gewissen "H._____, I._____". Darüber hinaus standen dem FOR offenbar weder der BMW selber noch die beiden Schlüssel zur Verfügung (Urk. D4/10/6 S. 2). Aus dem Gutachten ist aber zum einen weder ersichtlich, wer H._____ genau ist, noch wie er neben den eigentlich beauftragten Sachverständigen J._____ und K._____ eingesetzt worden ist, oder über welche Qualifikationen er verfügt. Damit fehlt es an der für eine regelkonforme Mitwirkung von Drittpersonen nötigen Transparenz. Zum anderen wurde H._____ weder von einer Strafbehörde ermächtigt noch auf die Straffolgen von Art. 307 StGB aufmerksam gemacht. Jedenfalls ergibt sich Gegenteiliges nicht aus dem Gutachten. Folglich ist die Erstellung des Gutach- tens – in Übereinstimmung mit der Verteidigung – mit gewichtigen Mängeln behaf- tet und insofern für den Nachweis einer Laufleistungsmanipulation untauglich.</w:t>
      </w:r>
    </w:p>
    <w:p>
      <w:r>
        <w:rPr>
          <w:b/>
        </w:rPr>
        <w:t>E. 3.3</w:t>
      </w:r>
    </w:p>
    <w:p>
      <w:r>
        <w:t>Rechtsanwalt lic. iur. X2._____ machte Honorarleistungen von Fr. 6'493.40 geltend (Urk. 129). Auch dieser Aufwand seht im Einklang mit den Ansätzen der AnwGebV und erweist sich als angemessen. Zuzüglich der Dauer der Berufungs- verhandlung (inkl. Vor- und Nachbesprechung + Weg) sind die Kosten der amtli- chen Verteidigung der Beschuldigten 2 pauschal auf Fr. 7'700.– festzusetzen. 4. Wird die beschuldigte Person ganz oder teilweise freigesprochen, so hat sie Anspruch auf Entschädigung ihrer Aufwendungen für die angemessene Aus- übung ihrer Verfahrensrechte und der wirtschaftlichen Einbussen, die ihr aus ihrer</w:t>
      </w:r>
    </w:p>
    <w:p>
      <w:r>
        <w:t>- 20 - notwendigen Beteiligung am Strafverfahren entstanden sind (Art. 429 Abs. 1 lit. a und b StPO).</w:t>
      </w:r>
    </w:p>
    <w:p>
      <w:r>
        <w:rPr>
          <w:b/>
        </w:rPr>
        <w:t>E. 4</w:t>
      </w:r>
    </w:p>
    <w:p>
      <w:r>
        <w:t>Lediglich der Vollständigkeit halber sei an dieser Stelle abschliessend darauf hingewiesen, dass das Ergebnis der Beweiswürdigung nicht anders ausfallen</w:t>
      </w:r>
    </w:p>
    <w:p>
      <w:r>
        <w:t>- 15 - würde, wenn eine Laufleistungsmanipulation erstellbar wäre. Denn diesfalls könn- te den Beschuldigten mit den zur Verfügung stehenden Beweismitteln auch ein Betrugsvorsatz nicht nachgewiesen werden. Zum einen erweisen sich die Ausfüh- rungen der Beschuldigten – entgegen den Erwägungen der Vorinstanz (Urk. 98 E. II.C.2.5 und 2.7) – nicht als abwegig, sie hätten während den Fahrten mit dem BMW dem Kilometerstand kaum Beachtung geschenkt. Benutzt man ein Fahr- zeug lediglich als Transportmittel für den Arbeitsweg oder eine Auslandreise – wie das bei den Beschuldigen ihren Aussagen entsprechend der Fall war, so dürfte der Kilometerstand tatsächlich wenig interessieren, wird dieser doch regelmässig erst dann bedeutsam, wenn das Fahrzeug z.B. verkauft werden soll, was vorlie- gend nicht der Fall war. Zum anderen und v.a. bliebe aber angesichts der Akten- lage weiterhin unklar, wann, wie und von wem die Laufleistungsmanipulation durchgeführt worden sein soll. Ohne diese äusseren Umstände bzw. diese Hin- tergrundinformationen können keine Rückschlüsse auf ein Wissen der Beschul- digten über eine Manipulation gezogen werden bzw. darüber, dass der BMW einen viel höheren Kilometerstand aufwies, als sie der L._____ gegenüber ange- geben hatten, was für die Bejahung eines Betrugsvorsatzes aber erforderlich wä- re.</w:t>
      </w:r>
    </w:p>
    <w:p>
      <w:r>
        <w:rPr>
          <w:b/>
        </w:rPr>
        <w:t>E. 4.1</w:t>
      </w:r>
    </w:p>
    <w:p>
      <w:r>
        <w:t>Der Beschuldigte 1 ist erst seit dem 8. Juni 2017 amtlich verteidigt (Urk. 22/16). Folglich ist er für seine erbetene Verteidigung vor diesem Zeitpunkt aus der Gerichtskasse zu entschädigen. Der entsprechende Aufwand wurde auf Fr. 7'717.25 beziffert und erweist sich als angemessen. Dem Beschuldigten A._____ ist für das Untersuchungs- und das erstinstanzliche Gerichtsverfahren somit eine Prozessentschädigung in diesem Umfang aus der Gerichtskasse zu- zusprechen.</w:t>
      </w:r>
    </w:p>
    <w:p>
      <w:r>
        <w:rPr>
          <w:b/>
        </w:rPr>
        <w:t>E. 4.2</w:t>
      </w:r>
    </w:p>
    <w:p>
      <w:r>
        <w:t>Rechtsanwalt lic. iur. X2._____ wurde erst mit Verfügung vom 5. Juli 2018 als amtlicher Verteidiger der Beschuldigten 2 mit Wirkung ab dem 24. Januar 2018 bestellt (Urk. 69). Zufolge Freispruchs ist der Beschuldigten 2 folglich der Aufwand der vormals erbetenen Verteidigung (d.h. vom 4. März 2015 bis zum 23. Januar 2018) vollumfänglich aus der Gerichtskasse zu ersetzen. Dieser wurde mit Fr. 12'497.80 veranschlagt (Urk. 85), was sich als angemessen erweist. Der Be- schuldigten B._____ ist daher für das Untersuchungs- und das erstinstanzliche Gerichtsverfahren eine Prozessentschädigung in diesem Umfang aus der Ge- richtskasse zuzusprechen. Es wird beschlossen:</w:t>
      </w:r>
    </w:p>
    <w:p>
      <w:r>
        <w:rPr>
          <w:b/>
        </w:rPr>
        <w:t>E. 4.3</w:t>
      </w:r>
    </w:p>
    <w:p>
      <w:r>
        <w:t>Ein letztes objektives Beweismittel zur Erstellung der von der Anklagebehör- de behaupteten Eigentümerstellung des Privatklägers stellen die Ausdrucke des Chatverlaufes dar. Diese Ausdrucke wurden allerdings durch den Privatkläger selber erstellt und dem zuständigen Polizeibeamten zugestellt. Sie enthalten of- fenkundig lediglich vom Privatkläger selbst ausgewählte Auszüge aus dem SMS- Verkehr zwischen ihm und dem Beschuldigten. Die Untersuchungsbehörde hat aus unerklärlichen Gründen offenbar weder diese Auszüge noch den gesamten SMS-Verkehr auf dem Mobiltelefon des Privatklägers selber eingesehen (Urk. D6 1 S. 5), geschweige denn verifiziert, dass es sich überhaupt um einen Chat mit dem Beschuldigten handelte. Folglich kann auch nicht ausgeschlossen werden, dass sich allenfalls auch entlastendes Material darin befunden hätte. Damit kann diesen Ausdrucken nicht eine über eine Parteibehauptung hinausgehende Bedeu- tung beigemessen werden.</w:t>
      </w:r>
    </w:p>
    <w:p>
      <w:r>
        <w:rPr>
          <w:b/>
        </w:rPr>
        <w:t>E. 4.4</w:t>
      </w:r>
    </w:p>
    <w:p>
      <w:r>
        <w:t>Nachdem somit keine verlässlichen objektiven Beweismittel zur Verfügung stehen und die Aussagen des Privatklägers einige Ungereimtheiten enthalten (vgl. hierzu Urk. 98 II.D.2.3; Art. 82 Abs. 4 StPO), kann der Anklagesachverhalt nicht ohne Verbleib von vernünftigen Restzweifeln erstellt werden. Folglich ist der Beschuldigte vom Vorwurf der Veruntreuung im Sinne von Art. 138 Ziff. 1 StGB freizusprechen. V. Kosten- und Entschädigungsfolgen 1. Gestützt auf Art. 428 Abs. 3 StPO hat die Rechtsmittelinstanz von Amtes wegen auch über die von der Vorinstanz getroffene Kostenregelung zu befinden, wenn sie selber ein neues Urteil fällt und nicht kassatorisch entscheidet. Dies ist vorliegend der Fall, weshalb neu über die Kosten des Untersuchungs- und erstin- stanzlichen Verfahrens zu entscheiden ist. 2. Die beschuldigte Person trägt die Verfahrenskosten, wenn sie verurteilt wird (Art. 426 Abs. 1 Satz 1 StPO). Wird sie freigesprochen, so können ihr diese ganz</w:t>
      </w:r>
    </w:p>
    <w:p>
      <w:r>
        <w:t>- 19 - oder teilweise nur dann auferlegt werden, wenn er rechtswidrig und schuldhaft die Einleitung des Verfahrens bewirkt oder dessen Durchführung erschwert hat (Art. 426 Abs. 2 StPO). Angesichts des zu erfolgenden Freispruchs beider Beschuldigten von allen ihnen gegenüber erhobenen Vorwürfen sind die Kosten der Untersuchung und des erstinstanzlichen Gerichtsverfahrens, einschliesslich derjenigen ihrer amtli- chen Verteidigungen, auf die Gerichtskasse zu nehmen. 3. Die Kosten des Rechtsmittelverfahrens tragen die Parteien nach Massgabe ihres Obsiegens oder Unterliegens (Art. 428 Abs. 1 Satz 1 StPO).</w:t>
      </w:r>
    </w:p>
    <w:p>
      <w:r>
        <w:rPr>
          <w:b/>
        </w:rPr>
        <w:t>E. 5</w:t>
      </w:r>
    </w:p>
    <w:p>
      <w:r>
        <w:t>Nachdem der Betrugsvorsatz – wie dargelegt wurde – ohnehin nicht nach- weisbar ist, kann schliesslich auch auf die Einholung eines neuen Gutachtens be- züglich der Laufleistungsmanipulation verzichtet werden. IV. Veruntreuung (Dossier 6) zum Nachteil von E._____ A. Sachverhaltserstellung 1. Die Anklagebehörde wirft dem Beschuldigten 1 Folgendes vor: Zwischen dem 24. und 30. April 2014 habe er den Jaguar von E._____ zwecks Einlösung in der Schweiz und anschliessendem Gebrauch während einiger weniger Tage übernommen und am 26. Mai 2014 ohne Einverständnis von E._____ und im Wissen um die fehlende Berechtigung zu einem Preis von Fr. 5'200.– an M._____ verkauft. Dieses Geld soll der Beschuldigte 1 anschliessend für seine eigenen</w:t>
      </w:r>
    </w:p>
    <w:p>
      <w:r>
        <w:t>- 16 - Zwecke verwendet haben. Dadurch sei E._____ ein Schaden in der Höhe von mindestens Fr. 4'000.– entstanden. Dabei habe der Beschuldigte den Jaguar bzw. den Verkaufserlös dem Geschädigten nie zurück- bzw. herausgeben wollen. 2. Der Beschuldigte bestreitet in objektiver Hinsicht im Wesentlichen, dass der Jaguar zum Zeitpunkt des Verkaufs an M._____ E._____ gehört habe (Urk. D6 2 Nr. 4 f., 27 ff., 48; D6 3 Nr. 10-17, 48; vgl. Urk. 127 S. 2 ff.). In der Folge stellt er auch in Abrede, dass er willentlich, wissentlich und in Bereicherungsabsicht den ihm lediglich zum Gebrauch übergebenen Jaguar unberechtigterweise verkauft bzw. den entsprechenden Verkaufserlös ohne Berechtigung für eigene Zwecke verwendet habe. Anerkannt und in Übereinstimmung mit dem übrigen Beweisergebnis, insbe- sondere den Aussagen von E._____ (Urk. D6 4 Nr. 4, 6-9; Urk. D6 6 Nr. 25-40), ist erstellt, dass der Beschuldigte 1 den Jaguar am 30. April 2014 auf seinen Na- men immatrikulierte, diesen sodann benutzte und am 26. Mai 2014 an M._____ zu einem Preis von Fr. 5'200.– verkaufte. Diesen Verkaufserlös verwendete der Beschuldigte sodann zu eigenen Zwecken (D6 2 Nr. 7 f., 12-14, 16 -19, 21; D6 3 Nr. 20 ff. [weitgehender Verweis auf seine Aussagen gegenüber der Polizei]; vgl. auch Urk. D6 1 S. 3 f.; D6 7 f.). Nachfolgend ist somit einzig zu prüfen, in wessen Eigentum der Jaguar stand, als der Beschuldigte 1 diesen übernahm, benutzte und verkaufte. 3. Die Vorinstanz hat die Aussagen des Beschuldigten 1 sowie diejenigen von E._____ korrekt wiedergegeben. Diesbezüglich kann auf die vorinstanzlichen Er- wägungen verwiesen werden (Urk. 98 II.D.2.1 und 2.2; Art. 82 Abs. 4 StPO). Nachdem sie sodann prüfte, welche der beiden Sachdarstellungen sich bezüglich der Eigentümerstellung mit der objektiven Beweislage in Übereinstimmung brin- gen liess, kam sie zum Schluss, dass E._____ der Eigentümer des Jaguars war und diesen dem Beschuldigten 1 nur zum vorübergehenden Gebrauch überlassen hatte (Urk. 98 II.D.2).</w:t>
      </w:r>
    </w:p>
    <w:p>
      <w:r>
        <w:t>- 17 - 4. Wie nachfolgend aufzuzeigen sein wird, kann dieses Beweisergebnis nicht bestätigt werden, da sich bei objektiver Betrachtung unüberwindbare Zweifel da- ran aufdrängen.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