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SB180530 vom 8. Januar 2019</w:t>
      </w:r>
    </w:p>
    <w:p>
      <w:r>
        <w:t>ZH Obergericht, 2019-01-08, DE</w:t>
      </w:r>
    </w:p>
    <w:p>
      <w:r>
        <w:rPr>
          <w:b/>
        </w:rPr>
        <w:t xml:space="preserve">Quelle: </w:t>
      </w:r>
      <w:r>
        <w:t>https://mcp.opencaselaw.ch/entscheid/zh_obergericht_SB180530</w:t>
      </w:r>
    </w:p>
    <w:p>
      <w:r>
        <w:t>FR: ZH_OBERGERICHT SB180530 du 8 janvier 2019</w:t>
      </w:r>
    </w:p>
    <w:p>
      <w:r>
        <w:t>IT: ZH_OBERGERICHT SB180530 del 8 gennaio 2019</w:t>
      </w:r>
    </w:p>
    <w:p>
      <w:pPr>
        <w:pStyle w:val="Heading2"/>
      </w:pPr>
      <w:r>
        <w:t>Erwägungen</w:t>
      </w:r>
    </w:p>
    <w:p>
      <w:r>
        <w:rPr>
          <w:b/>
        </w:rPr>
        <w:t>E. 6</w:t>
      </w:r>
    </w:p>
    <w:p>
      <w:r>
        <w:t>November 2018 Berufung an (Urk. 49). Mit Eingabe vom 17. Dezember 2018, eingegangen am 19. Dezember 2018, hat die Staatsanwaltschaft Winterthur/Unterland die Berufung zurückgezogen (Urk. 56). Das Verfahren ist demgemäss unter ausgangsgemässer Regelung der Kosten- und Entschädigungsfolgen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StPO Praxis- kommentar, 3. Aufl., N 3 zu Art. 428). Mangels erkennbarer Umtriebe sind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