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SB180526 vom 26. April 2019</w:t>
      </w:r>
    </w:p>
    <w:p>
      <w:r>
        <w:t>ZH Obergericht, 2019-04-26, DE</w:t>
      </w:r>
    </w:p>
    <w:p>
      <w:r>
        <w:rPr>
          <w:b/>
        </w:rPr>
        <w:t xml:space="preserve">Quelle: </w:t>
      </w:r>
      <w:r>
        <w:t>https://mcp.opencaselaw.ch/entscheid/zh_obergericht_SB180526</w:t>
      </w:r>
    </w:p>
    <w:p>
      <w:r>
        <w:t>FR: ZH_OBERGERICHT SB180526 du 26 avril 2019</w:t>
      </w:r>
    </w:p>
    <w:p>
      <w:r>
        <w:t>IT: ZH_OBERGERICHT SB180526 del 26 aprile 2019</w:t>
      </w:r>
    </w:p>
    <w:p>
      <w:pPr>
        <w:pStyle w:val="Heading2"/>
      </w:pPr>
      <w:r>
        <w:t>Erwägungen</w:t>
      </w:r>
    </w:p>
    <w:p>
      <w:r>
        <w:rPr>
          <w:b/>
        </w:rPr>
        <w:t>E. 1</w:t>
      </w:r>
    </w:p>
    <w:p>
      <w:r>
        <w:t>a) Die Beschuldigte anerkannte den eingeklagten äusseren Tathergang, der mit einer Videoaufzeichnung (Urk. 3) dokumentiert ist, in der Untersuchung als zutreffend, wies aber den Vorwurf der vorsätzlichen Tatbegehung von sich (Urk. 4 S. 8). Die Staatsanwaltschaft trug dem in ihrem Strafbefehl vom 7. März 2018 Rechnung, indem sie auf Fahrlässigkeit erkannte (Urk. 9 S. 1/3). Vor Be- zirksgericht erklärte die Beschuldigte dann zwar, sie wolle gar nichts abstreiten, machte aber auch geltend, der von ihr eingehaltene Abstand sei "schon sehr na- he", aber "nicht zu wenig" gewesen, zumal sie ja auch "immer bremsbereit" ge- wesen sei (Prot. I S. 7). Sie liess ihren Verteidiger demgemäss auf Freispruch plädieren (Urk. 24 S. 1). Die Vorinstanz sprach die Beschuldigte jedoch der mehr- fachen fahrlässigen groben Verletzung der Verkehrsregeln (Art. 90 Abs. 2 in Ver- bindung mit Art. 100 Abs. 1 und Art. 34 Abs. 4 SVG sowie Art. 12 Abs. 1 VRV) schuldig. Die Beschuldigte akzeptiert diesen Schuldspruch heute. Anlässlich der Berufungsverhandlung zeigte sie sich auch ausdrücklich geständig und einsichtig, dass der Abstand zu gering gewesen sei (Prot. II S. 4, 10 f.). b) Die Vorinstanz bestrafte die Beschuldigte mit 20 Tagessätzen Geldstrafe (Urk. 35 S. 19). Dieses Strafmass erscheint in Anbetracht des bis zu drei Jahren Freiheitsstrafe reichenden Strafrahmens (Art. 90 Abs. 2), der Gefährlichkeit des zu ahndenden Verhaltens für die anderen Strassenbenützer, der mehrfachen Tat- begehung, der einschlägigen Vorstrafe und der Tatbegehung während der dies- bezüglichen Probezeit sowie angesichts des bis zum Zeitpunkt der Berufungsver- handlung eher uneinsichtigen Aussageverhaltens der Beschuldigten als sehr mil- de. Dies gilt auch unter Berücksichtigung der zugunsten der Beschuldigten ange- nommenen fahrlässigen Tatbegehung. Dies anerkennt zumindest implizite auch die Beschuldigte, indem sie im Berufungsverfahren keine Reduktion des Straf- masses, sondern einzig die Gewährung des bedingten Strafvollzugs beantragen lässt (Urk. 37; Urk. 42 S. 1). Anlässlich der Berufungsverhandlung gab die Be- schuldigte bekannt, dass sie im Hinblick darauf, dass ihr der Führerausweis für ein Jahr entzogen werden würde, per 1. März 2019 eine neue Stelle habe antre- ten müssen. Der Stellenwechsel sei erforderlich geworden, da sie für die Kunden-</w:t>
      </w:r>
    </w:p>
    <w:p>
      <w:r>
        <w:t>- 7 - besuche, welche zum Profil ihrer früheren Arbeitsstelle gehört hätten, weiterhin auf ein Auto und mithin den Führerausweis angewiesen gewesen wäre. Die Be- schuldigte erklärte weiter, dass es sich zwar auch bei ihrer neuen Anstellung um eine solche als kaufmännische Angestellte im Bereich Offerten- und Auftragswe- sen handle. Aufgrund des weniger breiten Aufgabengebietes gehe der Stellen- wechsel aber mit einer gewissen Lohneinbusse einher. So verdiene sie neu nicht mehr Fr. 4'800.– pro Monat, sondern nur noch rund Fr. 4'500.–. Einen 13. Mo- natslohn erhalte sie nicht. Im Übrigen blieben ihre finanziellen Verhältnisse seit der erstinstanzlichen Hauptverhandlung jedoch unverändert (Prot. II S. 5 ff.). Vor diesem Hintergrund ist eine Reduktion des von der Vorinstanz noch auf Fr. 110.– festgesetzten Tagessatzes angezeigt. Es erscheint als angemessen, die Tages- satzhöhe neu auf Fr. 80.– festzusetzen. Unter diesen Umständen und mit Blick auf das Verschlechterungsverbot (Art. 391 Abs. 2 StPO) ist das erstinstanzlich festgesetzte Strafmass – mit Ausnahme der auf Fr. 80.– zu reduzierenden Tages- satzhöhe – ohne weiteres zu bestätigen.</w:t>
      </w:r>
    </w:p>
    <w:p>
      <w:r>
        <w:rPr>
          <w:b/>
        </w:rPr>
        <w:t>E. 2</w:t>
      </w:r>
    </w:p>
    <w:p>
      <w:r>
        <w:t>a) Die Berufung der Beschuldigten richtet sich gegen die Verweigerung des bedingten Strafvollzugs (Urk. 37). Der Strafaufschub ist ihr zu gewähren, wenn der Vollzug der vorliegend auszufällenden Geldstrafe nicht als notwendig erscheint, um sie von der Begehung weiterer Straftaten abzuhalten (Art. 42 Abs. 1 StGB). Bei der diesbezüglichen Prognosestellung sind die gesamten Umstände der Tat, das Vorleben der Beschuldigten einschliesslich früherer Delikte und ihr Nachtatverhalten zu berücksichtigen. Ausserdem kommt es darauf an, welche Warnwirkung von der aktuell auszufällenden Strafe und vom allfälligen Widerruf des bedingten Vollzugs einer früheren Strafe (Art. 46 Abs. 1 StGB) bzw. von der stattdessen angeordneten Verwarnung oder Verlängerung einer Probezeit (Art. 46 Abs. 2 StGB) erwartet werden kann. Der Strafaufschub ist nur zu verweigern, wenn die Legalprognose insgesamt eindeutig schlecht ausfällt (Trechsel / Pieth, StGB-Praxiskommentar, N 8 ff. zu Art. 42, mit Hinweisen u.a. auf BGE 134 IV 82 Erw. 4.2). Dabei kann der Vollzug der früheren Strafe die Prognose günstig beein- flussen und einen Aufschub der neuen Strafe rechtfertigen. Es ist aber grundsätz- lich auch zulässig, diese Strafe zum Vollzug zu bringen und dafür vom Widerruf abzusehen (BGer 6B_887/2017, Erw. 5.1). Die Entscheidungen über den beding-</w:t>
      </w:r>
    </w:p>
    <w:p>
      <w:r>
        <w:t>- 8 - ten Vollzug und den Widerruf sind damit inhaltlich so miteinander verknüpft, dass über sie im Berufungsverfahren nicht einzeln, sondern immer nur zusammen ent- schieden werden kann. b) Vorliegend ist allerdings zu beachten, dass die heute auszusprechende Strafe mit 20 Tagessätzen zu Fr. 80.– geringer ist als die mit dem Strafbefehl der Staatsanwaltschaft See / Oberland vom 26. Oktober 2015 ausgefällten 30 Tages- sätze zu Fr. 130.–. Eine Abänderung des vorinstanzlichen Urteils in dem Sinne, dass die neue Strafe aufgeschoben und dafür die Vorstrafe vollzogen wird, bräch- te für die allein appellierende Beschuldigte somit eine unzulässige Verschlechte- rung (Art. 391 Abs. 2 StPO). Geprüft werden kann deshalb einzig, ob die Bewäh- rungsaussichten der Beschuldigten auch dann nicht als schlecht beurteilt werden müssen, wenn ihrem Antrag entsprechend neben der Verlängerung der Probezeit aus dem früheren Urteil vom Vollzug der neuen Strafe abgesehen und ihr statt- dessen eine fünfjährige Probezeit angesetzt wird. c) Hinsichtlich der Verlängerung der bereits abgelaufenen Probezeit ist da- rauf hinzuweisen, dass die Verlängerungsdauer von einem Jahr ab heute läuft (Art. 46 Abs. 2 letzter Satz StGB).</w:t>
      </w:r>
    </w:p>
    <w:p>
      <w:r>
        <w:rPr>
          <w:b/>
        </w:rPr>
        <w:t>E. 3</w:t>
      </w:r>
    </w:p>
    <w:p>
      <w:r>
        <w:t>Die Beschuldigte wurde mit Strafbefehl der Staatsanwaltschaft See / Oberland vom 26. Oktober 2015 wegen grober Verletzung der Verkehrsregeln (Art. 90 Abs. 2 SVG) zu einer Geldstrafe von 30 Tagessätzen zu Fr. 130.– verur- teilt. Der Vollzug dieser Strafe wurde aufgeschoben und der Beschuldigten eine Probezeit von zwei Jahren angesetzt (Urk. 7/2). Einschlägige Vorstrafen schlies- sen zwar die Gewährung des bedingten Strafvollzugs nicht notwendigerweise aus, sind aber bei der Prognosestellung als erheblich ungünstiges Element zu gewichten (Basler Kommentar, 4. A., N 61 zu Art. 42 StGB mit zahlreichen Hin- weisen auf die Rechtsprechung). Erschwerend wirkt sich vorliegend aus, dass die Beschuldigte noch während der Probezeit rückfällig wurde. Zutreffend ist zwar, dass bis zum Ablauf der Bewährungsfrist nur noch fünf Tage fehlten. Bedenklich ist aber anderseits, dass sie in genau gleicher Weise (und sogar am selben Ort) gegen elementare Verkehrsregeln verstiess wie schon 2015, indem sie beim Hin- tereinanderfahren auf der Autobahn den erforderlichen Sicherheitsabstand deut-</w:t>
      </w:r>
    </w:p>
    <w:p>
      <w:r>
        <w:t>- 9 - lich unterschritt. Diesmal tat sie es sogar zweimal kurz nacheinander, zuerst auf der zweiten Überhol- und dann auf der Normalspur. Entlastende Tatumstände wie beispielsweise eine notstandsähnliche Situation sind nicht ansatzweise auszu- machen. Zwar zeigte sich die Beschuldigte anlässlich der Berufungsverhandlung einsichtig und erklärte, dass sie insbesondere nach dem Anschauen des Videos erkannt habe, dass der Abstand wirklich sehr nahe und zu gering gewesen sei. Auch gab sie an, dass sie ihr Fahrverhalten insofern angepasst habe, als sie nun gezielter nach der Sekundenregelung fahre und immer zähle, um sicher zu sein, dass sie den nötigen Abstand einhalte (Prot. II S. 10 f.). Aus ihrem bisherigen Aussageverhalten ging eine entsprechende Einsicht jedoch noch nicht hervor. Vielmehr machte es bis anhin den Anschein, dass der Beschuldigten weder auf- grund der früheren Verurteilung noch angesichts des aktuellen Verfahrens be- wusst war, wie gefährlich das zu dichte Aufschliessen bei den auf Autobahnen üb- lichen hohen Geschwindigkeiten ist. So beharrte sie noch vor Bezirksgericht da- rauf, dass ihr Abstand zu den vorausfahrenden Autos "nicht zu wenig" gewesen sei, und dass sie ja auch "immer bremsbereit" gewesen sei (Urk. 23 S. 7). Die heute gezeigte Einsicht alleine vermag daher noch nicht auf eine positive Legal- prognose schliessen zu lassen. Wie vor Vorinstanz macht die Verteidigung so- dann auch im Berufungsverfahren geltend, dass bei der Beurteilung der Bewäh- rungsaussichten der Beschuldigten auch die Folgen des parallelen Administrativ- verfahrens zu berücksichtigen seien (Urk. 24 S. 5; Urk. 42 S. 3). Dem ist zu ent- gegnen, dass das Nebeneinander des Administrativ- und des Strafverfahrens vom Gesetzgeber gewollt und es sich bei diesen daher um voneinander unabhängige Verfahren handelt. Dennoch ist nicht ausser Acht zu lassen, dass der Entzug des Führerausweises bei der Beschuldigten nicht nur eine Einschränkung ihrer Mobili- tät zur Folge haben wird, sondern dieser bei insbesondere aufgrund des Stellen- wechsels und der damit einhergehenden Einkommenseinbusse sowie einer Ein- schränkung ihres beruflichen Aufgabenbereiches bereits jetzt zu einschneidenden Veränderungen geführt hat. Wiederum ist aber zu berücksichtigen, dass auch je- de andere Person, die aufgrund einer Delinquenz einen Führerausweisentzug gewärtigen muss, mit Einschränkungen konfrontiert würde. Die Beschuldigte hatte aufgrund der mit Strafbefehl der Staatsanwaltschaft See / Oberland vom</w:t>
      </w:r>
    </w:p>
    <w:p>
      <w:r>
        <w:t>- 10 - 26. Oktober 2015 gewährten Probezeit bereits einmal die Möglichkeit, sich zu be- währen. Da sie stattdessen jedoch noch in der Probezeit in beinahe derselben Weise delinquierte wie zuvor, muss trotz der heute gezeigten Einsicht und dem Umstand, dass die Beschuldigte bereits aufgrund des Führerausweisentzuges Nachteile hinnehmen muss, welche sich stark auf ihren Alltag auswirken, dennoch von einer Schlechtprognose ausgegangen werden. An dieser Einschätzung ver- möchte auch eine Verbindungsbusse, welche entsprechend dem Vorbringen der Verteidigung neben der Gewährung des bedingten Vollzuges der Geldstrafe an- geordnet werden könnte (Prot. II S. 12), nichts zu ändern. Zum einen würde das Aussprechen einer Verbindungsbusse, lediglich um die Anordnung des unbeding- ten Vollzugs der Geldstrafe zu verhindern, dem eigentlich vorgesehenen Zweck einer Verbindungsbusse – im Rahmen der Massendelinquenz die sogenannte "Schnittstellenproblematik" zwischen einer unbedingten Busse für Übertretungen und der bedingten Geldstrafe für Vergehen zu entschärfen und eine rechtsgleiche Sanktionierung zu ermöglichen – zuwiderlaufen. Abgesehen davon könnte aber auch deren Warnwirkung nicht als ausreichend erachtet werden, um die Beschul- digte von weiterer Delinquenz abzuhalten. Unter diesen Umständen rechtfertigt sich der Verzicht auf den Vollzug der Vorstrafe nur unter Berücksichtigung der zu- sätzlichen Warnwirkung, die davon zu erwarten ist, dass die Beschuldigte die heute auszufällende Geldstrafe bezahlen muss. IV. Die Beschuldigte unterliegt mit ihrem Berufungsantrag. Da es sich bei der Reduktion der Tagessatzhöhe nicht um eine Korrektur des vorinstanzlichen Ent- scheids, sondern um eine Anpassung an die veränderten wirtschaftlichen Ver- hältnisse der Beschuldigten handelt, wirkt sich dieser Umstand nicht auf die Kos- tenverteilung aus. Der Beschuldigten sind die Kosten des zweitinstanzlichen Ver- fahrens daher dennoch vollumfänglich aufzuerlegen (Art. 428 Abs. 1 StPO).</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