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SB180512 vom 19. November 2019</w:t>
      </w:r>
    </w:p>
    <w:p>
      <w:r>
        <w:t>ZH Obergericht, 2019-11-19, DE</w:t>
      </w:r>
    </w:p>
    <w:p>
      <w:r>
        <w:rPr>
          <w:b/>
        </w:rPr>
        <w:t xml:space="preserve">Quelle: </w:t>
      </w:r>
      <w:r>
        <w:t>https://mcp.opencaselaw.ch/entscheid/zh_obergericht_SB180512</w:t>
      </w:r>
    </w:p>
    <w:p>
      <w:r>
        <w:t>FR: ZH_OBERGERICHT SB180512 du 19 novembre 2019</w:t>
      </w:r>
    </w:p>
    <w:p>
      <w:r>
        <w:t>IT: ZH_OBERGERICHT SB180512 del 19 novembre 2019</w:t>
      </w:r>
    </w:p>
    <w:p>
      <w:pPr>
        <w:pStyle w:val="Heading2"/>
      </w:pPr>
      <w:r>
        <w:t>Erwägungen</w:t>
      </w:r>
    </w:p>
    <w:p>
      <w:r>
        <w:rPr>
          <w:b/>
        </w:rPr>
        <w:t>E. 1</w:t>
      </w:r>
    </w:p>
    <w:p>
      <w:r>
        <w:t>Das Bezirksgericht Pfäffikon, Einzelgericht Strafsachen, entschied mit Urteil vom 20. Juli 2018 im Verfahren GG170026 über die vorliegende Anklage. Gegen dieses Urteil liess der erbetene Verteidiger der Beschuldigten mit Eingabe vom 25. Juli 2018 (Urk. 80/1-2 bzw. 98/1) innert Frist Berufung anmelden. Das voll- ständig begründete Urteil (Urk. 90) wurde von der Staatsanwaltschaft See/Oberland des Kantons Zürich (hernach Anklagebehörde oder Staatsanwalt- schaft) und der Privatklägerin jeweils am 21. November 2018 (Urk. 92/2 bzw. 92/3) und von der Verteidigung am 26. November 2018 (Urk. 92/1) entgegenge- nommen. Mit Eingabe vom 11. Dezember 2018 ging die Berufungserklärung der Beschuldigten am 13. Dezember 2018 hierorts ein (Urk. 96). Mit Präsidialverfü-</w:t>
      </w:r>
    </w:p>
    <w:p>
      <w:r>
        <w:t>- 5 - gung vom 3. Januar 2019 (Urk. 99) wurde der Staatsanwaltschaft sowie der Pri- vatklägerin unter Hinweis auf die Berufungserklärung der Beschuldigten Frist zur Erhebung einer Anschlussberufung bzw. zum Antrag auf Nichteintreten auf die Berufung angesetzt. Mit Eingabe vom 7. Januar 2019 (Urk. 101) wurde seitens der Staatsanwaltschaft wie mit Eingabe vom 24. Januar 2019 (Urk. 102) seitens des Rechtsvertreters der Privatklägerin jeweils mitgeteilt, dass keine Anschluss- berufung erhoben werde und die Bestätigung des vorinstanzlichen Urteils bean- tragt werde.</w:t>
      </w:r>
    </w:p>
    <w:p>
      <w:r>
        <w:rPr>
          <w:b/>
        </w:rPr>
        <w:t>E. 1.1</w:t>
      </w:r>
    </w:p>
    <w:p>
      <w:r>
        <w:t>Die beschuldigte Person kann im Strafverfahren zur Wahrung ihrer Interes- sen grundsätzlich einen Rechtsbeistand ihrer Wahl bestellen (Art. 127 Abs. 1 und 129 Abs. 1 StPO, Art. 32 Abs. 2 BV, Art. 6 Ziff. 3 lit. c EMRK sowie Art. 14 Abs. 3 UNO-Pakt II). Das Recht auf freie Verteidigerwahl ist aber nicht unbeschränkt. Vorbehalten bleiben die strafprozessualen und berufsrechtlichen Vorschriften und Zulassungsvoraussetzungen. Die Verteidigungsrechte der beschuldigten Person finden eine Schranke überdies an den Parteirechten der übrigen Verfahrensbetei- ligten (Urteil 1B_7/2009 vom 16. März 2009 E. 5, nicht publ. in: BGE 135 I 261).</w:t>
      </w:r>
    </w:p>
    <w:p>
      <w:r>
        <w:t>- 6 -</w:t>
      </w:r>
    </w:p>
    <w:p>
      <w:r>
        <w:rPr>
          <w:b/>
        </w:rPr>
        <w:t>E. 1.2</w:t>
      </w:r>
    </w:p>
    <w:p>
      <w:r>
        <w:t>Nach Art. 127 Abs. 3 StPO kann ein Rechtsbeistand in den Schranken von Gesetz und Standesregeln im gleichen Verfahren die Interessen mehrerer Verfah- rensbeteiligter wahren. In diesem Zusammenhang zu beachten ist insbesondere Art. 12 lit. c des Anwaltsgesetzes (BGFA; SR 935.61), wonach Anwältinnen und Anwälte jeden Konflikt zwischen den Interessen ihrer Klientschaft und den Perso- nen, mit denen sie geschäftlich oder privat in Beziehung stehen, zu meiden ha- ben. Bedingung dafür, dass Anwältinnen und Anwälte im gleichen Strafverfahren die Interessen mehrerer Verfahrensbeteiligter wahren dürfen, ist demnach, dass in Bezug auf die einzelnen Verfahrensbeteiligten keine Interessenkollision oder auch nur der Anschein einer solchen Kollision bestehen darf (vgl. Botschaft zur Vereinheitlichung des Strafprozessrechts, BBl 2006 1085, S. 1176).</w:t>
      </w:r>
    </w:p>
    <w:p>
      <w:r>
        <w:rPr>
          <w:b/>
        </w:rPr>
        <w:t>E. 1.3</w:t>
      </w:r>
    </w:p>
    <w:p>
      <w:r>
        <w:t>Bei Mehrfach-Verteidigungsmandaten desselben Rechtsvertreters für ver- schiedene Mitbeschuldigte besteht nach der Rechtsprechung des Bundesgerichts grundsätzlich ein Interessenkonflikt, der gestützt auf das Anwaltsberufs- und Strafprozessrecht einen Verfahrensausschluss eines erbetenen privaten Verteidi- gers durch die Verfahrensleitung rechtfertigen kann. Von besonderen Ausnahme- fällen abgesehen dürfen Anwältinnen und Anwälte keine Mehrfachverteidigungen von Mitbeschuldigten ausüben. Dies selbst dann nicht, wenn die Mandanten der Doppelvertretung zustimmen, oder wenn der Verteidiger beabsichtigt, für alle Be- schuldigten auf Freispruch zu plädieren. Bei ihrem Entscheid über die Nichtzulas- sung bzw. Abberufung von Anwälten hat die Verfahrensleitung entsprechenden Interessenkonflikten in jedem Verfahrensstadium vorausschauend Rechnung zu tragen. Eine Mehrfachverteidigung von verschiedenen Mitbeschuldigten könnte allenfalls (im Interesse der Verfahrenseffizienz) ausnahmsweise erlaubt sein, so- fern die Mitbeschuldigten durchwegs identische und widerspruchsfreie Sachver- haltsdarstellungen geben und ihre Prozessinteressen nach den konkreten Um- ständen nicht divergieren (Urteil 1B_613/2012 vom 29. Januar 2013 E. 2.; Urteil 6B_1073/2010 vom 21. Juni 2011 E. 1.2.2; Urteil 1B_7/2009 vom 16. März 2009 E. 5.5 und E. 5.8 mit Hinweisen, nicht publ. in: BGE 135 I 261). 2. Um einen Freispruch oder ein möglichst mildes Urteil zu erreichen, kann je- de von mehreren beschuldigten Personen versucht sein, mitbeschuldigte Perso-</w:t>
      </w:r>
    </w:p>
    <w:p>
      <w:r>
        <w:t>- 7 - nen zu belasten, womit eine wirksame Verteidigung durch den gleichen Rechts- anwalt nicht mehr gewährleistet wäre (LIEBER, IN: DONATSCH/HANSJAKOB/LIEBER [HRSG.], Kommentar zur Schweizerischen Strafprozessordnung, 2. A., Zürich 2014, Art. 127 StPO N 12 m.w.H.). Dies erscheint im vorliegenden Strafverfahren ausgeschlossen. So werden die beiden Beschuldigten – die Beschuldigte in vor- liegendem Verfahren und der Beschuldigte im Verfahren SB180513 – vor Beru- fungsinstanz lediglich hinsichtlich des Vorwurfs des Nötigungsversuchs nament- lich vom 10. Juni 2017 der gleichen Tat angeklagt. Dabei sollen sie die versuchte Nötigung durch gleichmassgebliches, arbeitsteiliges Zusammenwirken bei der Ausführung begangen haben, wobei jeder, soweit er nicht selber gehandelt habe, mit den Tathandlungen des anderen einverstanden gewesen sei (vgl. Urk. 35 S. 8). Diesbezüglich ist massgebend, dass beide Beschuldigten den in Frage ste- henden Anklagesachverhalt in objektiver Hinsicht anerkannten und ihn lediglich in subjektiver Hinsicht bestritten, ohne sich dabei gegenseitig wesentlich zu belas- ten. Unter diesen Umständen steht die Mehrfachvertretung durch den jeweils er- betenen Rechtsvertreter Rechtsanwalt lic. iur. et lic. oec. publ. X._____ einer je- weils wirksamen Verteidigung nicht entgegen, weil divergierende Prozessinteres- sen der mitbeschuldigten Personen in rechtsgenügendem Mass ausgeschlossen werden können. Abgesehen davon resultiert hinsichtlich des in Frage stehenden Nötigungsversuchs auch ein Freispruch für beide Beschuldigten (s. nachstehend E. III.4. bzw. Verfahren SB180513). Die Mehrfachvertretung erweist sich demnach vorliegend so oder anders als zulässig. B. Verwertbarkeit / Konfrontationsrecht 1. Nach Art. 147 Abs. 1 Satz 1 StPO haben die Parteien das Recht, bei Be- weiserhebungen durch die Staatsanwaltschaft und die Gerichte anwesend zu sein und einvernommenen Personen Fragen zu stellen. Der Anspruch auf Teilnahme an den Beweiserhebungen im Untersuchungs- und Hauptverfahren gilt grundsätz- lich auch für die Einvernahme von Mitbeschuldigten (BGE 140 IV 172 E. 1.2.2; 139 IV 25 E. 5.1-5.3; je mit Hinweisen). Beweise, die in Verletzung dieser Be- stimmung erhoben worden sind, dürfen nach Art. 147 Abs. 4 StPO nicht zulasten der Partei verwendet werden, die nicht anwesend war. Das Recht, bei Beweiser-</w:t>
      </w:r>
    </w:p>
    <w:p>
      <w:r>
        <w:t>- 8 - hebungen durch die Staatsanwaltschaft und die Gerichte anwesend zu sein und einvernommenen Personen Fragen zu stellen, setzt Parteistellung voraus. Partei- en sind die beschuldigte Person, die Privatklägerschaft sowie im Haupt- und im Rechtsmittelverfahren die Staatsanwaltschaft (Art. 104 Abs. 1 StPO). Der in Art. 6 Ziff. 3 lit. d EMRK garantierte Anspruch der beschuldigten Person, den Belas- tungszeugen Fragen zu stellen, ist ein besonderer Aspekt des Rechts auf ein fai- res Verfahren. Dieser Anspruch wird als Konkretisierung des rechtlichen Gehörs (Art. 29 Abs. 2 BV) auch durch Art. 32 Abs. 2 BV gewährleistet (BGE 131 I 476 E. 2.2; 129 I 151 E. 3.1 mit Hinweisen). Der Begriff des Zeugen im Sinne von Art. 6 Ziff. 3 lit. d EMRK ist autonom und ohne formelle Bindung an das nationale Recht auszulegen. Als Aussagen von Zeugen gelten all jene, die formell zugelas- sen sind, dem Gericht zur Kenntnis kommen und von ihm verwendet werden kön- nen (BGE 131 I 476 E. 2.2; 125 I 127 E. 6a mit Hinweisen). Damit der von Art. 6 Ziff. 3 lit. d EMRK garantierte Anspruch gewahrt ist, muss die beschuldigte Person namentlich in der Lage sein, die Glaubhaftigkeit einer Aussage prüfen und den Beweiswert in kontradiktorischer Weise auf die Probe und infrage stellen zu kön- nen (BGE 133 I 33 E. 2.2; 131 I 476 E. 2.2; 129 I 151 E. 4.2; je mit Hinweisen). Das kann entweder zum Zeitpunkt erfolgen, zu dem der Belastungszeuge seine Aussage macht, oder auch in einem späteren Verfahrensstadium (BGE 131 I 476 E. 2.2; 125 I 127 E. 6b mit Hinweisen; Urteil 6B_611/2015 vom 17. Dezember 2015 E. 1.3.2). Der Beschuldigte verwirkt sein Recht auf die Stellung von Ergän- zungsfragen nicht dadurch, dass er es erst im Rahmen der Berufung geltend macht (Urteile 6B_529/2014 vom 10. Dezember 2014 E. 5.2, nicht publ. in: BGE 140 IV 196; 6B_98/2014 vom 30. September 2014 E. 3.4 und 6B_510/2013 vom</w:t>
      </w:r>
    </w:p>
    <w:p>
      <w:r>
        <w:rPr>
          <w:b/>
        </w:rPr>
        <w:t>E. 2</w:t>
      </w:r>
    </w:p>
    <w:p>
      <w:r>
        <w:t>Die Vorladungen an die Staatsanwaltschaft, die Privatklägerin und die Be- schuldigte zur heutigen Berufungsverhandlung ergingen am 25. Juni 2019 (Urk. 105).</w:t>
      </w:r>
    </w:p>
    <w:p>
      <w:r>
        <w:rPr>
          <w:b/>
        </w:rPr>
        <w:t>E. 2.1</w:t>
      </w:r>
    </w:p>
    <w:p>
      <w:r>
        <w:t>Anklagebehörde und Vorinstanz qualifizieren den angeklagten Sachverhalt als mehrfache Nötigung im Sinne von Art. 181 StGB in Verbindung mit Art. 22 Abs. 1 StGB.</w:t>
      </w:r>
    </w:p>
    <w:p>
      <w:r>
        <w:rPr>
          <w:b/>
        </w:rPr>
        <w:t>E. 2.2</w:t>
      </w:r>
    </w:p>
    <w:p>
      <w:r>
        <w:t>Gemäss Art. 181 StGB macht sich strafbar, wer jemanden durch Gewalt oder Androhung ernstlicher Nachteile oder durch andere Beschränkung seiner</w:t>
      </w:r>
    </w:p>
    <w:p>
      <w:r>
        <w:t>- 15 - Handlungsfreiheit nötigt, etwas zu tun, zu unterlassen oder zu dulden. Schutzob- jekt von Art. 181 StGB ist die Freiheit der Willensbildung und Willensbetätigung des Einzelnen (BGE 134 IV 216 E. 4.4.3; BGE 129 IV 6 E. 2.1, BGE 129 IV 262 E. 2.1). Diese ist strafrechtlich unabhängig von der Art der (legalen) Tätigkeit ge- schützt, welche der Betroffene nach seinem frei gebildeten Willen verrichten will (BGE 134 IV 216 E. 4.4.3). Der Tatbestand ist ein Erfolgsdelikt; die Anwendung des Nötigungsmittels muss den Betroffenen in seiner Handlungsfreiheit beein- trächtigen (Urteil 6B_819/2010 vom 3. Mai 2011 E. 5.1; BGE 147 IV 437 E. 3.2.1.). Ein Versuch liegt gemäss Art. 22 Abs. 1 StGB vor, wenn der Täter die strafbare Tätigkeit nicht zu Ende führt oder der zur Vollendung der Tat gehörende Erfolg nicht eintritt bzw. nicht eintreten kann, was zu einer fakultativen Strafmilde- rung durch das Gericht führt.</w:t>
      </w:r>
    </w:p>
    <w:p>
      <w:r>
        <w:rPr>
          <w:b/>
        </w:rPr>
        <w:t>E. 2.3</w:t>
      </w:r>
    </w:p>
    <w:p>
      <w:r>
        <w:t>Um dem gesetzlichen und verfassungsmässigen Bestimmtheitsgebot ("nul- lum crimen sine lege") gerecht zu werden, ist die Tatbestandsvariante der "ande- ren Beschränkung der Handlungsfreiheit" in Art. 181 StGB restriktiv auszulegen.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BGE 137 IV 326 E. 3.3.1; BGE 134 IV 216 E. 4.1 mit Hinweisen). Es führt somit nicht jeder noch so geringfügige Druck auf die Ent- scheidungsfreiheit eines andern zu einer Bestrafung nach Art. 181 StGB (zum Ganzen: BGE 147 IV 347 E. 3.2.1.; BGE 129 IV 262 E. 2.1; BGE 119 IV 301 E. 2a; je mit Hinweisen).</w:t>
      </w:r>
    </w:p>
    <w:p>
      <w:r>
        <w:rPr>
          <w:b/>
        </w:rPr>
        <w:t>E. 2.4</w:t>
      </w:r>
    </w:p>
    <w:p>
      <w:r>
        <w:t>Die Rechtsprechung (vgl. hierzu Urteil 6B_819/2010 vom 3. Mai 2011 E. 5.3, insb. E. 5.4) hat unter die Generalklausel der "anderen Beschränkung der Hand- lungsfreiheit" in erster Linie Narkose, Betäubung, schwerer Rausch, Hypnose und ähnliche Zustände, aber auch die Blendung mit Licht sowie die Ausnützung von Verblüffung und Erschrecken gefasst (BGE 101 IV 167 E. 2). Im Einzelnen hat sie ein dem Merkmal der Gewalt gleichkommendes Zwangsmittel angenommen bei</w:t>
      </w:r>
    </w:p>
    <w:p>
      <w:r>
        <w:t>- 16 - der massiven akustischen Verhinderung eines öffentlichen Vortrags durch organi- siertes und mit Megaphon unterstütztes "Niederschreien", wobei das Bundesge- richt darauf hinwies, dass bloss lästige Störungen durch Pfiffe und Zwischenrufe noch nicht genügen (BGE 101 IV 167 E. 2a), bei der Bildung eines Menschentep- pichs durch 24 Demonstranten vor dem Zugang einer Ausstellung, wodurch die Wegfahrt eines Motorfahrzeugs verhindert und der Zugang zur Ausstellung für Fussgänger behindert wurde (BGE 108 IV 165 E. 3b), bei der Sabotage eines Bahnschranken-Mechanismus, welche für kurze Zeit den Strassenverkehr unter- band (BGE 119 IV 301 E. 3), bei der totalen Blockierung des Haupteingangs zu einem Verwaltungsgebäude (Urteil des Kassationshofs 6S.671/1998 vom 11. De- zember 1998, zitiert in BGE 129 IV 6 E. 2.3), bei Blockaden der Zufahrten bzw. Werksgeleise zu den Atomkraftwerken Beznau, Gösgen und Leibstadt (BGE 129 IV 6 E. 2.5), bei einer Blockade des Verkehrs auf einer Autobahn während an- derthalb Stunden im Rahmen eines Streiks für die Einführung des flexiblen Alters- rücktritts (BGE 134 IV 216) und beim vielfachen, teils durch Drohungen begleite- ten und über längere Dauer anhaltenden Verfolgen zweier Vertreter des ehemali- gen Arbeitgebers durch einen entlassenen Angestellten mit dem Ziel, die Wieder- anstellung zu erreichen (BGE 129 IV 262 E. 2.5). Verneint hat das Bundesgericht eine "andere Beschränkung der Handlungsfreiheit" im Sinne des Tatbestands der Nötigung bei einem relativ kurzfristigen, weder mit einer bestimmten Forderung noch mit irgendwelchen Drohungen verbundenen Verweilen einer Gruppe von Studenten in einer Fakultätssitzung (BGE 107 IV 113 E. 3b), und bei wiederhol- tem Herstellen einer Verbindung zum Telefonanschluss der Nachbarin (379 Mal innerhalb eines Monats), um auf störende Rauchimmissionen durch deren Holz- feuerungsanlage hinzuweisen (vgl. Urteil 6B_320/2007 vom 16. November 2007).</w:t>
      </w:r>
    </w:p>
    <w:p>
      <w:r>
        <w:rPr>
          <w:b/>
        </w:rPr>
        <w:t>E. 2.5</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137 IV 326 E. 3.3.1; BGE 134 IV 216 E. 4.1; BGE 129 IV 6 E. 3.4, BGE 129 IV 262 E. 2.1; BGE 119 IV 301 E. 2b; je mit Hinweisen).</w:t>
      </w:r>
    </w:p>
    <w:p>
      <w:r>
        <w:t>- 17 -</w:t>
      </w:r>
    </w:p>
    <w:p>
      <w:r>
        <w:rPr>
          <w:b/>
        </w:rPr>
        <w:t>E. 2.6</w:t>
      </w:r>
    </w:p>
    <w:p>
      <w:r>
        <w:t>In subjektiver Hinsicht bedarf es des Vorsatzes, der sich auf die Einfluss- nahme (Nötigungsmittel) und das abgenötigte Verhalten (Nötigungserfolg) bezie- hen muss. Der Täter muss wissentlich und willentlich den Willen des Opfers beu- gen und es dadurch in seiner rechtlich geschützten Freiheit beschränken (BSK STGB II-VELNON/RÜDY, Art. 181 StGB N 55). Während ein Teil der Lehre bezüg- lich des Nötigungserfolgs direkten Vorsatz verlangt (SCHUBARTH, KOMMENTAR STRAFRECHT, BESONDERER TEIL, 3. Bd., Bern 1984, Art. 181 StGB N 67 m.H.; zur Finalstruktur der Nötigung IMPERATORI, DAS UNRECHT DER NÖTIGUNG, Diss. Zürich 1987, S. 118 ff.), genügt nach herrschender Lehre an sich Eventualvorsatz (STRA- TENWERTH/JENNY/BOMMER, SCHWEIZERISCHES STRAFRECHT, BESONDERER TEIL I, 7. A. Bern 2010, § 5 Rz. 14 m.H.; BSK STGB II-DELNON/RÜDY, Art. 181 StGB N 55). Gleichzeitig werden allerdings von der Beschuldigten nicht direkt angestrebte, sondern bloss hingenommene Beschränkungen der Handlungsfreiheit nicht als Nötigung erfasst bzw. "ausgeschieden" (STRATENWERTH/JENNY/ BOMMER, a.a.O., § 5 Rz. 14). 3. Beschränkung der Handlungsfreiheit</w:t>
      </w:r>
    </w:p>
    <w:p>
      <w:r>
        <w:rPr>
          <w:b/>
        </w:rPr>
        <w:t>E. 3</w:t>
      </w:r>
    </w:p>
    <w:p>
      <w:r>
        <w:t>Der Grundsatz "in dubio pro reo" findet als Beweislastregel keine Anwen- dung, wenn die beschuldigte Person eine sie entlastende Behauptung aufstellt, ohne dass sie diese in einem Mindestmass glaubhaft machen kann. Es tritt näm- lich insoweit eine Beweislastumkehr ein, als nicht jede aus der Luft gegriffene Schutzbehauptung von der Anklagebehörde durch hieb- und stichfesten Beweis widerlegt werden muss (NIKLAUS SCHMID / DANIEL JOSITSCH, Praxiskommentar, a.a.O., Art. 10 StPO N 2a; BSK StPOI-TOPHINKE, Art. 10 StPO N 21).</w:t>
      </w:r>
    </w:p>
    <w:p>
      <w:r>
        <w:rPr>
          <w:b/>
        </w:rPr>
        <w:t>E. 3.1</w:t>
      </w:r>
    </w:p>
    <w:p>
      <w:r>
        <w:t>Die in Frage stehende Tatbestandsvariante einer "anderen Beschränkung der Handlungsfreiheit" der Nachbarn soll vorliegend durch den mit einer Schaufel gesammelten und von der Beschuldigten anerkanntermassen an der Grund- stücksgrenze deponierten frischen Tierkot und der damit im Zusammenhang ste- henden Geruchsemmission erfüllt worden sein. Über die Intensität des Gestanks liegen keine Berichte bei den Akten. Aus den darin befindlichen Farbkopien von Fotografien geht hervor, dass es sich hierbei um Tierkot im Umfang von einem kleinen Häufchen und einer kleinen Wurst von wenigen Zentimetern Durchmesser bzw. Länge handelt (vgl. Urk. D7/4 u. D7/5 insb. S. 3). Dass davon eine Geruchs- belästigung ausgeht, ist klar. Dies bedeutet aber noch nicht, dass daraus auch ei- ne strafrechtlich unzulässige Beschränkung der Handlungsfreiheit resultiert. So stellt auch eine eventuell zivilrechtlich als übermässig erklärte Einwirkung noch keine Nötigung dar.</w:t>
      </w:r>
    </w:p>
    <w:p>
      <w:r>
        <w:rPr>
          <w:b/>
        </w:rPr>
        <w:t>E. 3.2</w:t>
      </w:r>
    </w:p>
    <w:p>
      <w:r>
        <w:t>Seitens der Privatklägerin wurde hinsichtlich der Intensität der Ge- ruchsimmission vor Staatsanwaltschaft zu Protokoll gegeben, dass es sich dabei</w:t>
      </w:r>
    </w:p>
    <w:p>
      <w:r>
        <w:t>- 18 - um einen penetranten, leicht süsslichen Gestank gehandelt hätte. Es sei dadurch nicht mehr möglich gewesen, sich in ihrer Lounge aufzuhalten. Der Kot habe sich nur wenige Zentimeter hinter der Lounge befunden. Der Geruch sei auch von ih- ren Gästen bemerkt worden, als sie sich anlässlich eines Geburtstagsfestes am</w:t>
      </w:r>
    </w:p>
    <w:p>
      <w:r>
        <w:rPr>
          <w:b/>
        </w:rPr>
        <w:t>E. 3.3</w:t>
      </w:r>
    </w:p>
    <w:p>
      <w:r>
        <w:t>Angesichts der strengen Anforderungen an diese Tatbestandsvariante ist unter den gegebenen Umständen eine Beschränkung der Handlungsfreiheit im Sinne des Tatbestandes zu verneinen. Die vom deponierten Tierkot ausgehenden Immissionen sind sicher als unangenehm einzustufen. Eine eigentliche "Geruchs- blockade", welche es der Privatklägerin, ihrer Familie und ihren Gästen nicht mehr erlaubt hätte, sich über längere Zeit – auch andernorts – im Garten aufzuhalten, liegt allerdings nicht vor. Dies wäre für die Annahme einer strafrechtlich relevan- ten Beschränkung der Handlungsfreiheit aber erforderlich. Die Tathandlung der Beschuldigten war nicht geeignet, eine derart massive und strafrechtlich relevante Drucksituation zu schaffen, wie dies bei der Anwendung von Gewalt oder Andro- hung von Nachteilen der Fall sein kann.</w:t>
      </w:r>
    </w:p>
    <w:p>
      <w:r>
        <w:rPr>
          <w:b/>
        </w:rPr>
        <w:t>E. 4</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t>- 13 -</w:t>
      </w:r>
    </w:p>
    <w:p>
      <w:r>
        <w:rPr>
          <w:b/>
        </w:rPr>
        <w:t>E. 5</w:t>
      </w:r>
    </w:p>
    <w:p>
      <w:r>
        <w:t>Auf die Argumente der beschuldigten Person oder ihrer Verteidigung ist im Rahmen der nachstehenden Erwägungen einzugehen. Dabei muss sich das Ge- richt nicht ausdrücklich mit jeder tatsächlichen Behauptung und jedem rechtlichen Einwand auseinandersetzen; vielmehr kann es sich auf die für die Entscheidfin- dung wesentlichen Gesichtspunkte beschränken (BGE 138 I 232, E. 5.1. mit Hin- weisen; Urteil des Bundesgerichts 6B_484/2013, E. 3.2. vom 3. März 2014). E. Allgemeine Glaubwürdigkeit der Beteiligten 1. Die Glaubwürdigkeit einer Person ergibt sich aus deren prozessualen Stel- lung, ihren wirtschaftlichen Interessen am Ausgang des Verfahrens sowie vor al- lem anhand ihrer persönlichen Beziehungen und Bindungen zu den übrigen Pro- zessbeteiligten. 2. Die Beschuldigte ist als vom Strafverfahren Betroffene offensichtlich daran interessiert, ihr Verhalten in einem möglichst positiven Licht darzustellen. Aller- dings ist hervorzuheben, dass für den Beweiswert sämtlicher Aussagen der Be- schuldigten deren Glaubhaftigkeit das massgebende Kriterium bleibt, worauf in Bezug auf die einzelnen, der Beschuldigten vorgeworfenen Anklagepunkte einzu- gehen sein wird. 3. Die Privatklägerin, C._____, wurde im Sinne von Art. 178 lit. a StPO als Auskunftsperson einvernommen und stand in dieser Eigenschaft nicht unter der mit der Strafandrohung von Art. 307 StGB verbundenen Wahrheitspflicht. Aller- dings war sie gestützt auf Art. 180 Abs. 2 und Art. 181 Abs. 1 StPO zur Aussage verpflichtet und wurde gemäss Art. 181 Abs. 2 StPO auf die Folgen einer falschen Anschuldigung, einer Irreführung der Rechtspflege und einer Begünstigung ge- mäss Art. 303-305 StGB hingewiesen, was ihre Glaubwürdigkeit tendenziell stärkt. Nicht ausser Acht zu lassen ist des Weiteren, dass das Verhältnis zwi- schen der Privatklägerin und der Beschuldigten aufgrund nachbarlicher Streitig- keiten bereits seit Jahren sehr belastet erscheint, was auch die Beschuldigte be- stätigt (Prot. I S. 13). So wurde der Ehemann der Beschuldigten im Jahre 2009 wegen der Blockierung des Zugangs der Privatklägerin und deren Ehemannes zum Heizungsraum sowie der Unterbrechung der Warmwasserzufuhr zu deren</w:t>
      </w:r>
    </w:p>
    <w:p>
      <w:r>
        <w:t>- 14 - Liegenschaft wegen mehrfacher Nötigung im Sinne von Art. 181 StGB verurteilt (vgl. Urk. D1/27/5). Des Weiteren ist zu beachten, dass die Privatklägerin in vor- liegendem Prozess (auch) wirtschaftliche Interessen verfolgt (Urk. HD 51). Des- halb sind die Aussagen der Privatklägerin mit einer gewissen Zurückhaltung zu würdigen. Vorrangige Bedeutung kommt aber letztlich der Beurteilung der Glaub- haftigkeit ihrer Aussagen zu. 4. Hinsichtlich der Aussagen von B._____ ist zu bemerken, dass er in einem separaten Verfahren als beschuldigte Person einvernommen wurde und somit nicht unter der Strafandrohung von Art. 307 StGB zu wahrheitsgemässen Aussa- gen verpflichtet war, was bei der Beurteilung der Glaubhaftigkeit seiner Aussagen zu berücksichtigen ist, zumal er als Objekt der Strafverfolgung ein erhebliches In- teresse daran haben dürfte, die Geschehnisse in einem für ihn möglichst günsti- gen Licht darzustellen. Der Umstand, dass es sich bei ihm um den Ehemann der Beschuldigten handelt, schränkt seine Unabhängigkeit und damit Glaubwürdigkeit nicht unbeträchtlich ein. Seine Aussagen sind deshalb mit einer gewissen Zu- rückhaltung zu würdigen, auch wenn die Glaubhaftigkeit seiner Aussagen, auf welche im Rahmen der Würdigung des massgebenden Anklagepunktes einzuge- hen sein wird, klar im Vordergrund steht. F. Würdigung 1. Bestrittener Anklagesachverhalt Auf den bestrittenen Anklagesachverhalt (s. vorstehend unter Ziff. III.B.2.) wird nachstehend im Rahmen der rechtlichen Würdigung eingegangen. 2. Tatbestand der versuchten Nötigung gemäss Art. 181 StGB i.V.m. Art. 22 Abs. 1 StGB</w:t>
      </w:r>
    </w:p>
    <w:p>
      <w:r>
        <w:rPr>
          <w:b/>
        </w:rPr>
        <w:t>E. 10</w:t>
      </w:r>
    </w:p>
    <w:p>
      <w:r>
        <w:t>Juni 2017 draussen aufgehalten hätten. Sie seien dann nach einer gewissen Zeit wieder hineingegangen und hätten den Sitzplatz nicht benutzen können (Urk. D1/17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