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SB180509 vom 6. September 2019</w:t>
      </w:r>
    </w:p>
    <w:p>
      <w:r>
        <w:t>ZH Obergericht, 2019-09-06, DE</w:t>
      </w:r>
    </w:p>
    <w:p>
      <w:r>
        <w:rPr>
          <w:b/>
        </w:rPr>
        <w:t xml:space="preserve">Quelle: </w:t>
      </w:r>
      <w:r>
        <w:t>https://mcp.opencaselaw.ch/entscheid/zh_obergericht_SB180509</w:t>
      </w:r>
    </w:p>
    <w:p>
      <w:r>
        <w:t>FR: ZH_OBERGERICHT SB180509 du 6 septembre 2019</w:t>
      </w:r>
    </w:p>
    <w:p>
      <w:r>
        <w:t>IT: ZH_OBERGERICHT SB180509 del 6 settembre 2019</w:t>
      </w:r>
    </w:p>
    <w:p>
      <w:pPr>
        <w:pStyle w:val="Heading2"/>
      </w:pPr>
      <w:r>
        <w:t>Erwägungen</w:t>
      </w:r>
    </w:p>
    <w:p>
      <w:r>
        <w:rPr>
          <w:b/>
        </w:rPr>
        <w:t>E. 1</w:t>
      </w:r>
    </w:p>
    <w:p>
      <w:r>
        <w:t>Untersuchungsverfahren</w:t>
      </w:r>
    </w:p>
    <w:p>
      <w:r>
        <w:rPr>
          <w:b/>
        </w:rPr>
        <w:t>E. 1.1</w:t>
      </w:r>
    </w:p>
    <w:p>
      <w:r>
        <w:t>Mit Strafbefehl vom 14. August 2017 wurde der Beschuldigte von der Staatsanwaltschaft Baden wegen Betäubungsmittelkonsums (Art. 19a BetmG) und Verletzungen der Verkehrsregeln (Art. 90 Abs. 1 und 2 SVG) sowie wegen Fahrens ohne Berechtigung (Art. 95 Abs. 1 SVG) schuldig gesprochen und mit ei- ner bedingten Geldstrafe von 90 Tagessätzen zu Fr. 80.– sowie einer Busse von Fr. 2'100.– bestraft (Vorakten Staatsanwaltschaft Baden, STA3 ST.2017.3007 sowie Strafregisterauszug [Urk. D1 26/4 bzw. Urk. 64]).</w:t>
      </w:r>
    </w:p>
    <w:p>
      <w:r>
        <w:t>- 38 -</w:t>
      </w:r>
    </w:p>
    <w:p>
      <w:r>
        <w:rPr>
          <w:b/>
        </w:rPr>
        <w:t>E. 1.2</w:t>
      </w:r>
    </w:p>
    <w:p>
      <w:r>
        <w:t>Die Vorinstanz hat dazu erwogen, dass vorliegend keine Gesamtstrafe nach Art. 49 StGB - unter Einbezug der mit Strafbefehl vom 14. August 2017 aus- gefällten Geldstrafe respektive Busse - zu bilden sei, obwohl der Beschuldigte die aktuell zu beurteilenden Taten teils vor, teils nach dieser Verurteilung begangen hat. Dies, weil das Asperationsprinzip nur greife, wenn konkret mehrere gleich- artige Strafen ausgesprochen würden, aktuell jedoch eine Freiheitsstrafe auszu- sprechen sei (Urk. 62 S. 22 f. Ziff. 1; vgl. dazu auch BSK StGB I-ACKERMANN, 4. Aufl. 2019, Art. 49 N 90 und 92).</w:t>
      </w:r>
    </w:p>
    <w:p>
      <w:r>
        <w:rPr>
          <w:b/>
        </w:rPr>
        <w:t>E. 1.3</w:t>
      </w:r>
    </w:p>
    <w:p>
      <w:r>
        <w:t>Anlässlich der Berufungsverhandlung brachte die Verteidigung vor, die Auf- fassung der Vorinstanz, vorliegend komme einzig die Ausfällung einer Freiheits- strafe in Betracht, sei nicht begründet worden und widerspreche der aktuelleren Rechtsprechung des Bundesgerichtes, wonach sich der Ausschluss der Freiheits- strafe nicht mit "Zweckmässigkeitserwägungen" begründen lasse. Die Ausfällung einer Geldstrafe sei mit Ausnahme der Widerhandlung gegen das Betäubungsmit- telgesetz bei allen anderen Delikten möglich. Die Verteidigung vertritt die Ansicht, es sei kein Grund ersichtlich, weshalb für die Delikte der mehrfachen Geldwä- scherei im Sinne von Art. 305bis Ziff. 1 StGB, der Hehlerei im Sinne von Art. 160 Ziff. 1 StGB, der Schändung im Sinne von Art. 191 StGB sowie des mehrfachen Fahrens ohne Berechtigung im Sinne von Art. 95 Abs. 1 lit. b SVG nicht eine Geldstrafe ausgesprochen werden könnte. Diese Delikte hätten sich zudem alle- samt vor dem Strafbefehl der Staatsanwaltschaft Baden vom 14. August 2017 er- eignet. Demzufolge sei zu dieser Strafe in Anwendung von Art. 49 Abs. 2 StGB eine Zusatzstrafe auszusprechen (Urk. 95 S. 7).</w:t>
      </w:r>
    </w:p>
    <w:p>
      <w:r>
        <w:rPr>
          <w:b/>
        </w:rPr>
        <w:t>E. 1.4</w:t>
      </w:r>
    </w:p>
    <w:p>
      <w:r>
        <w:t>Die von der Verteidigung zitierte Erwägung aus dem Entscheid des Bun- desgerichtes vom 8. August 2016 lautet wie folgt (BGer 6B_988/2015, Urteil vom 8. August 2016 Erw. 5): "Die Beschwerde erweist sich als teilweise begründet. […] Als begründet erweist sich der Einwand gegen die vorinstanzliche Strafzumessungser- wägung, wonach hinsichtlich der Urkundenfälschung nur eine Freiheitsstrafe in Betracht komme, da "aufgrund der drei Vorstrafen die Festsetzung einer Geldstrafe unzweckmässig"</w:t>
      </w:r>
    </w:p>
    <w:p>
      <w:r>
        <w:t>- 39 - sei. Der Beschwerdeführer hat die Urkundenfälschung (Formular A) zeitlich vor den von der Vorinstanz als Vorstrafen angesehenen Delikten begangen. Dass der Beschwerdeführer bei der Aufklärung der Straftaten nicht aktiv mitgewirkt und keine Einsicht und Reue gezeigt hat, kann insbesondere vor dem Hintergrund der teilweisen Verfahrenseinstellung und Teil- freisprüche nicht straferhöhend gewichtet werden. Zudem moniert der Beschwerdeführer zu recht, dass beim Betrug als Vermögensdelikt monetäre Beweggründe bereits durch das Tat- bestandsmerkmal der Bereicherungsabsicht erfasst werden."</w:t>
      </w:r>
    </w:p>
    <w:p>
      <w:r>
        <w:rPr>
          <w:b/>
        </w:rPr>
        <w:t>E. 1.5</w:t>
      </w:r>
    </w:p>
    <w:p>
      <w:r>
        <w:t>Im vorliegenden Fall verhält es sich bezüglich des mehrfachen Fahrens ohne Berechtigung im Sinne von Art. 95 Abs. 1 lit. b SVG jedoch anders. Gemäss Strafregisterauszug vom 6. Dezember 2018 wurde der Beschuldigte mit Urteil des Bezirksgerichtes Zürich vom 21. November 2011 nebst des Verbrechens gegen das Betäubungsmittelgesetz mit Gefährdung der Gesundheit vieler Menschen im Sinne von Art. 19 Ziff. 2 lit. a aBetmG auch des Fahrens ohne Führerausweis oder trotz Entzug gemäss Art. 95 Abs. 2 aSVG und des Vergehens gegen das Waffengesetz schuldig gesprochen (Urk. 64). Mit Bezug auf die Strassenver- kehrsdelikte ist der Beschuldigte somit bereits einschlägig vorbestraft und die Ausfällung einer Freiheitsstrafe ist deshalb angemessen. Gemäss einem jüngeren Bundesgerichtsentscheid vom 18. Dezember 2018 lässt sich nämlich die Wahl der Strafart "Freiheitsstrafe" sehr wohl mit einschlägigen Vorstrafen begründen (BGer 6B_860/2018, Urteil vom 18. Dezember 2018 Erw. 5.4. zweiter Absatz).</w:t>
      </w:r>
    </w:p>
    <w:p>
      <w:r>
        <w:rPr>
          <w:b/>
        </w:rPr>
        <w:t>E. 1.6</w:t>
      </w:r>
    </w:p>
    <w:p>
      <w:r>
        <w:t>Was die Geldwäscherei anbelangt, steht diese im Zusammenhang mit dem Drogenhandel, den der Beschuldigte auch selbst betrieben hat. Dabei stammte der Erlös einerseits aus seinem eigenen Kokainhandel, teilweise handelte es sich um Erlös aus dem Drogenhandel eines Dritten namens "AB._____". Die Summe, die der Beschuldigte nach Peru überwiesen hat oder durch vorgeschobene Dritt- personen überweisen liess, war sodann mit total Fr 58'202.– und USD 2'405.– be- trächtlich. Es ist angemessen, hierfür eine Freiheitsstrafe auszusprechen.</w:t>
      </w:r>
    </w:p>
    <w:p>
      <w:r>
        <w:rPr>
          <w:b/>
        </w:rPr>
        <w:t>E. 1.7</w:t>
      </w:r>
    </w:p>
    <w:p>
      <w:r>
        <w:t>Der Verteidigung ist darin beizupflichten, dass das alte Recht für vor dem 1. Januar 2018 begangene Delikte insofern als milder einzustufen ist, als damals Geldstrafen bis zu 360 Tagessätzen (aktuell nur noch bis 180 Tagessätze) ausge- fällt werden konnten. Indessen wäre für die Schändung - diese dürfte innerhalb der daneben zur Diskussion stehenden Straftaten der Geldwäscherei, der Hehle-</w:t>
      </w:r>
    </w:p>
    <w:p>
      <w:r>
        <w:t>- 40 - rei sowie des Fahrens ohne Berechtigung, jedoch ohne die Betäubungsmittel- delikte das schwerste Delikt sein - eine Einsatzstrafe festzulegen. Für sich alleine betrachtet wäre dieses Delikt klar mit einer höheren Strafe als 360 Tagessätzen Geldstrafe zu bestrafen. Es kommt somit nur die Strafart der Freiheitsstrafe in Frage.</w:t>
      </w:r>
    </w:p>
    <w:p>
      <w:r>
        <w:rPr>
          <w:b/>
        </w:rPr>
        <w:t>E. 1.8</w:t>
      </w:r>
    </w:p>
    <w:p>
      <w:r>
        <w:t>Schliesslich ist bei der Hehlerei zu beachten, dass die vom Beschuldigten übernommenen Kosmetikartikel einen grossen Umfang und einen recht hohen Wert von gesamthaft Fr. 58'965.10 aufwiesen. Es erweist sich hierbei, insbeson- dere auch im Lichte aller erwirkten Vorstrafen, die Ausfällung einer Freiheitsstrafe als sachgerecht. 2. Strafzumessung</w:t>
      </w:r>
    </w:p>
    <w:p>
      <w:r>
        <w:rPr>
          <w:b/>
        </w:rPr>
        <w:t>E. 2</w:t>
      </w:r>
    </w:p>
    <w:p>
      <w:r>
        <w:t>Erstinstanzliches Verfahren</w:t>
      </w:r>
    </w:p>
    <w:p>
      <w:r>
        <w:rPr>
          <w:b/>
        </w:rPr>
        <w:t>E. 2.1</w:t>
      </w:r>
    </w:p>
    <w:p>
      <w:r>
        <w:t>Die Vorinstanz hat den ordentlichen Strafrahmen richtig auf ein bis zwanzig Jahre Freiheitsstrafe, womit gemäss Art. 19 Abs. 2 BetmG auch eine Geldstrafe verbunden werden kann, abgesteckt. Auch die Grundsätze der Strafzumessung mit den Ausführungen zum Verschulden unter Bezugnahme auf Tat- und Täter- komponenten wurden im erstinstanzlichen Urteil zutreffend dargestellt (Urk. 62 S. 22 ff. Ziff. 2. und 3.).</w:t>
      </w:r>
    </w:p>
    <w:p>
      <w:r>
        <w:rPr>
          <w:b/>
        </w:rPr>
        <w:t>E. 2.2</w:t>
      </w:r>
    </w:p>
    <w:p>
      <w:r>
        <w:t>Wie oben ausgeführt, ist für die vorliegend zu beurteilenden Delikte die Strafart Freiheitsstrafe angemessen. Es ist deshalb eine Gesamtstrafe zu bilden. Dabei ist vorab die Einsatzstrafe für die schwerste dieser Taten innerhalb des Strafrahmens unter Einbezug aller strafzumessungsrelevanten - strafmindernden und straferhöhenden - Faktoren festzusetzen. In Anwendung des Asperations- prinzips ist anschliessend die Strafe für die weiteren Delikte - unter Berücksichti- gung der jeweiligen Umstände - zu erhöhen. Die Vorgehensweise der Vorinstanz, anschliessend die Täterkomponenten, die sich mit Bezug auf die einzelnen Straf- taten nur wenig unterscheiden, gesamthaft zu würdigen, ist im vorliegenden Fall angemessen (Urk. 62 S. 25 f. Ziff. 3.4. mit Verweisen auf die Rechtsprechung).</w:t>
      </w:r>
    </w:p>
    <w:p>
      <w:r>
        <w:t>- 41 - 3. Einsatzstrafe für die mehrfachen Verbrechen gegen das Betäubungsmittel- gesetz 3.1. Die Vorinstanz hat auch die speziellen Grundsätze der Strafzumessung bei Betäubungsmitteldelikten und die strafzumessungsrelevanten Faktoren zutreffend aufgeführt, nämlich die gehandelte Menge und deren Reinheitsgrad, die Gefähr- lichkeit der Drogen, Hierarchiestufe und Funktion im Drogenhandelsgefüge und insbesondere auch das Motiv wie Finanzierung des eigenen Konsums einer dro- genabhängigen Person oder Profitstreben (Urk. 62 S. 26 f. Ziff. 4.1.1.). 3.2. Auch die Erwägungen des erstinstanzlichen Gerichts zur objektiven Tat- schwere und zum Verschulden des Beschuldigten vermögen sodann vollumfäng- lich zu überzeugen (Urk. 62 S. 27 f. Ziff. 4.1.3.). In objektiver Hinsicht ist festzu- halten, dass es sich bei Kokain um eine Droge mit hohem gesundheitsgefährden- dem Potential handelt. Der Beschuldigte verkaufte insgesamt über 250 Gramm reines Kokain und war zusätzlich im Besitz einer grösseren Menge von rund 1,35 Kilogramm reinem Kokain, welches zum Verkauf bestimmt war. Zwar ver- kaufte er an Endabnehmer kleinere Portionen, und er ist deshalb eher auf einer unteren Stufe mit hohem Risiko anzusiedeln. Jedoch spielte er eine wichtige Rolle im Handel, da er die gelieferten Drogen in grösserem Stil selber streckte und für den Verkauf portionierte. Die bei ihm sichergestellten Betäubungsmittelutensilien wie Digitalwagen, Minigrips, Mixer und Vakumiergerät (Urk. D1 16/14 und 16/26, D1 20/2 und D1 21/5) zeigen zudem eindrücklich, dass er in professioneller Art tä- tig war. Der Beschuldigte war sodann über längere Zeit aktiv, tätigte zahlreiche Verkäufe von Kleinmengen und seine Handelstätigkeit erfolgte in der Art eines Berufes. Zurecht erwähnt die Vorinstanz auch, dass der Beschuldigte im Vorfeld der ersten Verhaftung innert einem knappen halben Jahr einen Gewinn von CHF 12'500.– erwirtschaftete und damit auch einen nach bundesgerichtlicher Rechtsprechung "erheblichen" Gewinn im Sinne von Art. 19 Abs. 2 lit. c. erzielte (Urk. 62 S. 27 Ziff. 4.1.3., 2. Absatz mit Verweisen auf einschlägige Bundes- gerichtsentscheide). Die - im Rahmen des sehr weiten Strafrahmens - vorge- nommene Qualifikation des objektiven Tatverschuldens als keinesfalls mehr leicht durch die Vorinstanz (Urk. 62 S. 28 Ziff. 4.1.3. a.E.), erweist sich als eher milde. Das Verschulden kann durchaus als mittelschwer bezeichnet werden.</w:t>
      </w:r>
    </w:p>
    <w:p>
      <w:r>
        <w:t>- 42 - 3.3. Der Beschuldigte ist selbst nicht süchtig und handelte aus finanziellen Mo- tiven. Eine akute Notlage ist nicht ersichtlich, da er zwar monatlich nur eine kleine Rente erhält, diese aber regelmässig eintrifft und ihm die Deckung der Grundbe- dürfnisse ermöglicht. Nicht ausgeschlossen werden kann, dass der Beschuldigte im Vorfeld der dritten Verhaftung in gewisser Weise unter Druck gesetzt wurde, um seine Schulden zurück zu zahlen. Indessen gab er vor Vorinstanz selber an, dass er diesfalls auch hätte die Polizei verständigen können, statt wieder mit dem Drogenverkauf zu beginnen. Daraus ergibt sich eine leichte Relativierung des subjektiven Verschuldens. 3.4. Insgesamt vermögen die subjektiven Komponenten die objektive Tat- schwere jedoch nicht massgeblich zu verringern. Folglich ist das Verschulden als gesamthaft keinesfalls mehr leicht bis mittelschwer zu gewichten. Die von der Vorinstanz ermittelte hypothetische Einsatzsatzstrafe von 46 Monaten bewegt sich eher unter den in den Tabellen der Kommentatoren FINGERHUTH/SCHLEGEL/ JUCKER aufgeführten Strafmassangaben (FINGERHUTH/SCHLEGEL/JUCKER, OF- Komm. BetmG, 3. Aufl., Zürich 2016, S. 545 N 44 f. zu Art. 47 StGB). Damit wird dem Einwand der Verteidigung, der Beschuldigte habe nur einen kleineren Teil des Kokains effektiv auch in den Handel gebracht und verkauft, weshalb sich die konkrete Gesundheitsgefährdung, welche durch die drogenhändlerischen Aktivitä- ten des Beschuldigten hervorgebracht worden seien, auf diesen kleineren Teil be- schränke und es mit Bezug auf den grösseren Rest, der in seiner Wohnung und in seinem Fahrzeug gefunden worden sei, bei einer abstrakten Gefährdung blei- ben müsse (Urk. 95 S. 9), bereits genügend Rechnung getragen. Weiter ist keine zusätzliche Milderung der Strafe gestützt auf Art. 19 Abs. 3 lit. a BetmG angezeigt (Urk. 95 S. 10), da sich das in der Anklageschrift erwähnte Anstaltentreffen auf den Verkauf bezieht. Der Besitz der angeklagten Betäubungsmittelmenge ist je- doch erstellt und erfüllt bereits den Tatbestand von Art. 19 Ziff. 1 lit. d BetmG. Es erweist sich deshalb als angemessen, mit der Vorinstanz auch im Rahmen des Berufungsverfahrens von einer Einsatzstrafe von 46 Monaten auszugehen.</w:t>
      </w:r>
    </w:p>
    <w:p>
      <w:r>
        <w:t>- 43 - 4. Asperation aufgrund der weiteren Delikte</w:t>
      </w:r>
    </w:p>
    <w:p>
      <w:r>
        <w:rPr>
          <w:b/>
        </w:rPr>
        <w:t>E. 2.3</w:t>
      </w:r>
    </w:p>
    <w:p>
      <w:r>
        <w:t>Vorab kann auf die zutreffenden Ausführungen der Vorinstanz zu den Grundsätzen bei der Sachverhaltserstellung, zur Glaubwürdigkeit der Geschädig- ten und des Beschuldigten sowie zur Glaubhaftigkeit von deren Aussagen verwie- sen werden (Urk. 62 S. 8 ff. Ziff. 3 und 4). Sodann hat das erstinstanzliche Gericht die vorhandenen Beweismittel und die Aussagen der Beteiligten vorbildlich aufge- zeigt und richtig gewürdigt (Urk. 62 S. 11 ff. Ziff. 4.1.1. - 4.1.5.).</w:t>
      </w:r>
    </w:p>
    <w:p>
      <w:r>
        <w:rPr>
          <w:b/>
        </w:rPr>
        <w:t>E. 2.4</w:t>
      </w:r>
    </w:p>
    <w:p>
      <w:r>
        <w:t>Zusammenfassend ist nochmals festzuhalten: Aufgrund des vom Beschul- digten aufgenommenen Bildmaterials steht klar fest, dass die Geschädigte ab- solut willens- und wehrlos war, als er die verschiedenen sexuellen Handlungen an ihr vornahm (Urk. D3 2 und 4 sowie Urk. D1 5 S. 4 und D1 7 S. 3). Dabei muss - wie die Vorinstanz bereits zutreffend festhielt - offenbleiben, was genau diesen an Bewusstlosigkeit grenzenden Zustand oder Tiefschlaf verursachte. Dies ist je- doch vorliegend auch nicht entscheidend. Vielmehr ist aufgrund der fraglos offen- sichtlichen Widerstandsunfähigkeit der Geschädigten der Sachverhalt klar erstellt. Die Geschädigte konnte sich an die Vorkommnisse in keiner Art und Weise er- innern und auch nicht daran, dass der Beschuldigte nachher mit ihr darüber ge- sprochen hätte. Sie konnte sich nicht vorstellen, dass ihr der Beschuldigte so et- was angetan haben könnte. Entsprechend war sie denn auch schockiert, als ihr</w:t>
      </w:r>
    </w:p>
    <w:p>
      <w:r>
        <w:t>- 32 - der Filmausschnitt gezeigt wurde, in dem zu sehen ist, wie der Beschuldigte ver- sucht, seinen Penis in ihren Mund zu stecken. Sie weinte und erklärte, das sei nicht in Ordnung, was er mit ihr gemacht habe, das hätte sie nie von ihm erwartet. Sie sei nicht bei Bewusstsein gewesen und auch nicht damit einverstanden ge- wesen, dass der Beschuldigte die sexuellen Handlungen vorgenommen habe (Urk. D3 6/1 S. 6 ff. und D3 6/2 S. 11 ff.). Den Aussagen des Beschuldigten lässt sich entnehmen, dass auch er deren "weggetretenen" Zustand realisierte, wäh- renddem er verschiedene sexuelle Praktiken ausführte. Geradezu grotesk er- scheint seine ehemals vorgebrachte Rechtfertigung, wonach die Geschädigte einverstanden gewesen sein soll, nachdem er sich nicht erinnerte, sie vorher da- rauf angesprochen zu haben und geltend machte, dass er nachher nicht mehr mit ihr habe reden können. Nachdem der Beschuldigte jedoch angegeben hatte, die Geschädigte sei ganz normal gewesen, als er sie bei ihrem Freund habe aus- steigen lassen, ist nicht ersichtlich, weshalb er dann nicht ihr Einverständnis mit den vorgenommenen Handlungen einholte, als sie bei klarem Verstand war. Es kann vernünftigerweise kein Sachverhaltsirrtum vorliegen. Die ursprünglich vor- gebrachten Rechtfertigungen des Beschuldigten sind mit der Vorinstanz als Schutzbehauptungen zu werten. Der unter Dossier 3 angeklagte Sachverhalt ge- mäss Anklageschrift ist erstellt. B. Anklagevorwurf Dossier Nr. 5: Fahren ohne gültigen Führerschein im Zeitraum 16.09.2016 bis 10.10.2016 1. Anlässlich der polizeilichen Einvernahme vom 22. Oktober 2016 hatte der Beschuldigte zunächst geltend gemacht, er habe nie einen Brief mit der Mitteilung erhalten, dass sein Ausweis gesperrt worden sei. Die befristete Verzichts- erklärung habe er unterschrieben, als er im Gefängnis gewesen sei, aber er habe den Text darauf nicht gelesen. Den Führerausweis habe sein Anwalt an das Strassenverkehrsamt geschickt. Die Verfügung vom 14. September 2016, die sein Anwalt bekommen habe, habe er nie gesehen (Urk. D5 3 S. 2 f.). In den beiden Schlusseinvernahmen und vor Vorinstanz war der Beschuldigte aber vollumfänglich geständig (Urk. 8/6 S. 23 f., 8/7 S. 20 ff. und Prot. I S. 13). Im</w:t>
      </w:r>
    </w:p>
    <w:p>
      <w:r>
        <w:t>- 33 - Rahmen der Berufungsverhandlung legte er ebenfalls ein Geständnis ab (Prot. II S. 7 f.). 2. Die ursprünglichen Vorbringen des Beschuldigten, dass er die freiwillige Verzichtserklärung zuhanden des Strassenverkehrsamtes nicht richtig gelesen habe, scheinen unglaubhaft, zumal es sich um einen kurzen Text handelt und ausdrücklich erwähnt ist, dass der Unterzeichnende ab sofort keine Motorfahr- zeuge mehr fahren dürfe. Als Beilage wird der Führerausweis erwähnt (Urk. D5 5). Dem Beschuldigten musste somit klar sein, dass er mit Abgabe seines Führe- rausweises kein Fahrzeug mehr lenken durfte. Bei der Kontrolle wies er dann sei- nen alten Fahrausweis vor, den er nach früherer Verlustmeldung beim Zügeln wieder gefunden haben will (Urk. D5 3 S. 2 f. und D1 8/7 S. 20). Der Sachverhalt gemäss Anklageschrift ist erstellt. C. Anklagevorwürfe im Zusammenhang mit der Verhaftung vom 12. April 2017 1. Anklagevorwurf Dossier Nr. 6: Fahren ohne gültigen Führerschein am 12.04.2017 Anlässlich der Schlusseinvernahmen und vor Vorinstanz anerkannte der Beschul- digte den Vorwurf vollumfänglich (Urk. D1 8/6 S. 24 f., 8/7 S. 22 f. und Prot. I S. 13). Auch in der Berufungsverhandlung war der Beschuldigte geständig (Prot. II S. 7 f.). 2. Anklagevorwurf Dossier Nr. 7: Verbrechen gegen das Betäubungsmittel- gesetz Diesbezüglich gab der Beschuldigte anfänglich an, das von ihm in der Bauch- tasche mitgeführte Kokain vergessen zu haben, es sei nicht für den Verkauf be- stimmt gewesen (Urk. D7 6/1 S. 2). Anlässlich der Schlusseinvernahme war er je- doch geständig, erneut mit Kokain gedealt zu haben und dass die sichergestellten Drogen ihm gehörten (Urk. D1 8/7 S. 24 und S. 26). Im Rahmen der Berufungsverhandlung war der Beschuldigte ebenfalls geständig (Prot. II S. 7 f.).</w:t>
      </w:r>
    </w:p>
    <w:p>
      <w:r>
        <w:t>- 34 - D. Anklagevorwurf im Zusammenhang mit der Verhaftung vom 9. Januar 2018: Verbrechen gegen das Betäubungsmittelgesetz (Dossier Nr. 8) 1. Anklagevorwurf</w:t>
      </w:r>
    </w:p>
    <w:p>
      <w:r>
        <w:rPr>
          <w:b/>
        </w:rPr>
        <w:t>E. 2.5</w:t>
      </w:r>
    </w:p>
    <w:p>
      <w:r>
        <w:t>Die Verteidigung macht wie schon erwähnt geltend, die Ermittlungsbehör- den seien im Rahmen von geheimen Überwachungsmassnahmen auf den Be- schuldigten gestossen und hätten ihn deshalb kontrolliert. Da dieser personelle Zufallsfund nicht dokumentiert oder genehmigt worden sei, seien die im Rahmen der Kontrolle vom 22. Juni 2016 beim Beschuldigten sichergestellten Betäu- bungsmittel als Beweismittel und die weiter erhobenen Beweise nicht verwertbar (Urk. 87, 95 und 107).</w:t>
      </w:r>
    </w:p>
    <w:p>
      <w:r>
        <w:rPr>
          <w:b/>
        </w:rPr>
        <w:t>E. 2.6</w:t>
      </w:r>
    </w:p>
    <w:p>
      <w:r>
        <w:t>Wie bereits ausgeführt, bestehen aufgrund der Akten keinerlei Anhalts- punkte dafür, dass die Betäubungsmittelfahndung der Kantonspolizei Zürich im Rahmen einer - gegenüber einer anderen Person vorgenommenen - Observation oder Telefonüberwachung auf den Namen oder andere die Identifikation des Be- schuldigten zulassende Hinweise stiess. Es kann diesbezüglich auf die Angaben im Bericht vom 23. Mai 2019 bzw. vom 12. Juli 2019 abgestellt werden (Urk. 100 bzw. Urk. 111 S. 2). Wie zuvor dargelegt, erübrigt sich damit der seitens der Ver- teidigung gestellte Beweisantrag (vgl. vorstehend Erw. II.A.1.6.). 3. Sichergestelltes Mobiltelefon 3.1. Das Bundesgericht hielt in der Regeste des Entscheides vom 14. Februar 2013 fest, dass die Kontrolle eines I-Phones über den Zweck einer Anhaltung hinausgehe, da sie eine Durchsuchung von Aufzeichnungen darstelle. Für eine solche bedürfe die Polizei grundsätzlich eines staatsanwaltschaftlichen Durchsu- chungsbefehls, ausser wenn Gefahr in Verzug sei (BGE 139 IV 128 Erw. 1.3 bis 1.5).</w:t>
      </w:r>
    </w:p>
    <w:p>
      <w:r>
        <w:t>- 20 - Indessen gelangte das Bundesgericht zum Schluss, dass das selbständige Han- deln der Polizei im zu beurteilenden Fall nicht zu einem Verbot der Verwertung der erlangten Beweise führe (BGE 139 IV 128, Erw. 1.5 bis 1.7): "1.5 Inwiefern vorliegend "Gefahr in Verzug" war, welche die Polizei zu selbständigem Han- deln im Sinne von Art. 241 Abs. 3 StPO ermächtigte, ist nicht erkennbar. Der Umstand, dass die Anhaltung nach Art. 215 StPO und die damit einhergehende Beschränkung der Be- wegungsfreiheit der angehaltenen Person nur kurze Zeit dauern darf (vgl. Botschaft, a.a.O., BBl 2006 1224; SCHMID, Handbuch, a.a.O., S. 433 Rz. 1003), vermag jedenfalls keine Dringlichkeit im Sinne von Art. 241 Abs. 3 StPO zu begründen. Andernfalls wäre die Polizei bei einer Anhaltung unter Hinweis auf die engen zeitlichen Grenzen stets und ohne weiteres befugt, Durchsuchungen nach Art. 246 StPO selbständig anzuordnen und durchzuführen. Das entspricht nicht dem Sinn des Gesetzes. Art. 241 Abs. 3 StPO kommt (nur) zum Tragen, wenn ohne sofortige Durchsuchung ein Beweisverlust zu befürchten ist (GFELLER, a.a.O., N. 33 zu Art. 241 StPO; SCHMID, Handbuch, a.a.O., S. 468 f. Rz. 1064). Das ist hier nicht der Fall. […]</w:t>
      </w:r>
    </w:p>
    <w:p>
      <w:r>
        <w:rPr>
          <w:b/>
        </w:rPr>
        <w:t>E. 4</w:t>
      </w:r>
    </w:p>
    <w:p>
      <w:r>
        <w:t>Hausdurchsuchung</w:t>
      </w:r>
    </w:p>
    <w:p>
      <w:r>
        <w:rPr>
          <w:b/>
        </w:rPr>
        <w:t>E. 4.1</w:t>
      </w:r>
    </w:p>
    <w:p>
      <w:r>
        <w:t>Die Ausführungen des erstinstanzlichen Gerichtes zum Verschulden des Beschuldigten betreffend die mehrfache Geldwäscherei sind sowohl in objektiver als auch in subjektiver Hinsicht wohl begründet und zutreffend. Der Qualifikation des Verschuldens als insgesamt keinesfalls mehr leicht kann zugestimmt werden. Die Erhöhung der hypothetischen Einsatzstrafe um 4 Monate erweist sich ohne weiteres als angemessen (Urk. 62 S. 29 f. Ziff. 4.2.).</w:t>
      </w:r>
    </w:p>
    <w:p>
      <w:r>
        <w:rPr>
          <w:b/>
        </w:rPr>
        <w:t>E. 4.2</w:t>
      </w:r>
    </w:p>
    <w:p>
      <w:r>
        <w:t>Für die Hehlerei ist - wiederum unter Verweis auf die überzeugenden vor- instanzlichen Erwägungen (Urk. 62 S. 29 f. Ziff. 4.3.) - von einem noch leichten Verschulden auszugehen. Da es sich jedoch um eine beträchtliche Menge von Kosmetikartikeln mit einem erheblichen Wert von rund Fr. 58'000.– handelte, ist eine Erhöhung um 4 Monate vorzunehmen.</w:t>
      </w:r>
    </w:p>
    <w:p>
      <w:r>
        <w:rPr>
          <w:b/>
        </w:rPr>
        <w:t>E. 4.3</w:t>
      </w:r>
    </w:p>
    <w:p>
      <w:r>
        <w:t>Bezüglich der Schändung zum Nachteil der Geschädigten fällt in objektiver Hinsicht erschwerend ins Gewicht, dass der Beschuldigte eine Vielzahl verschie- dener sexueller Handlungen an der Geschädigten vornahm und ihr bedingungs- loses Vertrauen schamlos ausnützte. Die Vorinstanz wies bereits darauf hin, das sich die objektive Tatschwere indessen erheblich reduziert, weil die Geschädigte nach Aufdeckung der Straftat die Beziehung mit dem Beschuldigten wieder auf- nahm und ihm seine Taten, über die sie anfänglich sehr schockiert war, verziehen hat. Dass sich die Tat vor annähernd drei Jahren ereignete, ist auf das Verhalten des Beschuldigten zurückzuführen, der erneut delinquierte und zwischenzeitlich zwei Mal verhaftet wurde, was jeweils zur Erweiterung und damit Verlängerung der Untersuchung führte. Die Gewichtung des Verschuldens als gesamthaft nicht mehr leicht und die Straferhöhung im Rahmen des Asperationsprinzips um</w:t>
      </w:r>
    </w:p>
    <w:p>
      <w:r>
        <w:rPr>
          <w:b/>
        </w:rPr>
        <w:t>E. 4.4</w:t>
      </w:r>
    </w:p>
    <w:p>
      <w:r>
        <w:t>Was das mehrfache Fahren ohne Berechtigung anbelangt, zeigt sich der Beschuldigte uneinsichtig und beinahe unbelehrbar. So lenkte er wiederholt, näm- lich zwischen dem 16. September bis 10. Oktober 2016 und dann wieder an- lässlich der zweiten Verhaftung am 12. April 2017, ein Fahrzeug ohne über den</w:t>
      </w:r>
    </w:p>
    <w:p>
      <w:r>
        <w:t>- 44 - entsprechenden Führerausweis zu verfügen. Indessen ist doch darauf hinzu- weisen, dass durch das Verhalten des Beschuldigten - soweit bekannt - niemand gefährdet wurde. Die Straferhöhung durch die Vorinstanz um gesamthaft 4 Mona- te erscheint als eher streng. Vorliegend wird deshalb - unter Berücksichtigung des Asperationsprinzips - für beide Tatvorwürfe (Dossier Nr. 4 und 6) eine Strafer- höhung um 2 Monate vorgenommen.</w:t>
      </w:r>
    </w:p>
    <w:p>
      <w:r>
        <w:rPr>
          <w:b/>
        </w:rPr>
        <w:t>E. 4.5</w:t>
      </w:r>
    </w:p>
    <w:p>
      <w:r>
        <w:t>Zusammengefasst ergibt sich somit eine Straferhöhung der hypothetischen Freiheitsstrafe um 20 Monate auf 66 Monate Freiheitsstrafe. 5. Täterkomponente</w:t>
      </w:r>
    </w:p>
    <w:p>
      <w:r>
        <w:rPr>
          <w:b/>
        </w:rPr>
        <w:t>E. 5</w:t>
      </w:r>
    </w:p>
    <w:p>
      <w:r>
        <w:t>Notwendige Verteidigung:</w:t>
      </w:r>
    </w:p>
    <w:p>
      <w:r>
        <w:rPr>
          <w:b/>
        </w:rPr>
        <w:t>E. 5.1</w:t>
      </w:r>
    </w:p>
    <w:p>
      <w:r>
        <w:t>Was das Vorleben und die persönlichen Verhältnisse anbelangt, kann vor- ab auf die Befragung zur Person vom 16. Mai 2018 und vor Vorinstanz, auf die Vorakten sowie auf den Strafregisterauszug vom 10. Januar 2018 bzw. 6. Dezember 2018 verwiesen werden (Urk. D1 8/8, Prot. I S. 8 ff., Urk. D1 26/4 und Urk. 64). Die Zusammenfassung des Werdegangs durch die Vorinstanz ent- hält die wichtigen Stationen aus dem Leben des Beschuldigten (Urk. 62 S. 32 f. Ziff. 5.1.). Die Vorinstanz berücksichtigte die schwierigen familiären und persön- lichen Verhältnisse in wohlwollender Weise leicht strafmindernd.</w:t>
      </w:r>
    </w:p>
    <w:p>
      <w:r>
        <w:rPr>
          <w:b/>
        </w:rPr>
        <w:t>E. 5.2</w:t>
      </w:r>
    </w:p>
    <w:p>
      <w:r>
        <w:t>Strafzumessungsrelevant unter dem Titel Täterkomponenten sind die ver- schiedenen, teils einschlägigen Vorstrafen: So wurde der Beschuldigte mit Urteil des Bezirksgerichts Zürich vom 21. November 2011 des Verbrechens gegen das Betäubungsmittelgesetz im Sinne von Art. 19 Ziff. 2 lit. a aBetmG, des Fahrens ohne Berechtigung gemäss Art. 95 Abs. 2 aSVG sowie des mehrfachen Ver- gehens gegen das Waffengesetz im Sinne von Art. 33 Abs. 1 WG schuldig ge- sprochen und mit einer Freiheitsstrafe von 36 Monaten und einer Busse von Fr. 500.– bestraft. Weiter wurde er mit Strafbefehl der Staatsanwaltschaft Winterthur/Unterland vom 3. April 2013 wegen mehrfachen Betrugs im Sinne von Art. 146 Abs. 1 StGB verurteilt, wobei von der Ausfällung einer Zusatzstrafe ab- gesehen wurde. Hinsichtlich der Dossier Nr. 7 und 8 ist sodann die - bereits er- wähnte - Verurteilung mit Strafbefehl vom 14. August 2017 durch die Staats- anwaltschaft Baden wegen Betäubungsmittelkonsums (Art. 19a BetmG) und Ver-</w:t>
      </w:r>
    </w:p>
    <w:p>
      <w:r>
        <w:t>- 45 - letzungen der Verkehrsregeln (Art. 90 Abs. 1 und 2 SVG) sowie wegen Fahrens ohne Berechtigung (Art. 95 Abs. 1 SVG) zu berücksichtigen. Diese Vorstrafen fal- len stark ins Gewicht und führen zu einer erheblichen Straferhöhung.</w:t>
      </w:r>
    </w:p>
    <w:p>
      <w:r>
        <w:rPr>
          <w:b/>
        </w:rPr>
        <w:t>E. 5.3</w:t>
      </w:r>
    </w:p>
    <w:p>
      <w:r>
        <w:t>Zur Delinquenz während laufendem Strafverfahren und teilweise während laufender Probezeit des Strafbefehls vom 17. August 2017 sowie jeweils kurz nach erfolgten Haftentlassungen kann vollumfänglich auf die zutreffenden vorin- stanzlichen Ausführungen verwiesen werden (Urk. 62 S. 34 Ziff. 5.2.2.). Diese Umstände sind deutlich straferhöhend zu berücksichtigen.</w:t>
      </w:r>
    </w:p>
    <w:p>
      <w:r>
        <w:rPr>
          <w:b/>
        </w:rPr>
        <w:t>E. 5.4</w:t>
      </w:r>
    </w:p>
    <w:p>
      <w:r>
        <w:t>Unter dem Titel Nachtatverhalten fallen sodann das weitgehende Geständ- nis des Beschuldigten in der Untersuchung und vor Vorinstanz ins Gewicht. Auch wenn der Beschuldigte nun im Rahmen des Berufungsverfahrens einen voll- umfänglichen Freispruch beantragen lässt, darf nach wie vor auf seine früheren Eingeständnisse abgestellt werden. Weiter ist zu berücksichtigen, dass sich der Beschuldigte nun im Berufungsverfahren sogar bezüglich aller Sachverhalts- komplexe vollumfänglich geständig zeigt. Allerdings ist dieses vollumfängliche Geständnis erst spät erfolgt, hat das Verfahren nicht mehr wesentlich erleichtert und vermag deshalb keine spürbare Reduktion der Strafe zu bewirken, zumal trotz des nunmehr vollumfänglichen Geständnisses keine wirkliche Reue oder Einsicht des Beschuldigten auszumachen ist. Nach dem Gesagten ergibt sich un- ter dem Titel Nachtatverhalten insgesamt eine deutliche Strafreduktion, welche aufgrund der gegebenen Umstände nicht stärker zu gewichten ist, als dies die Vorinstanz bereits berücksichtigte.</w:t>
      </w:r>
    </w:p>
    <w:p>
      <w:r>
        <w:rPr>
          <w:b/>
        </w:rPr>
        <w:t>E. 5.5</w:t>
      </w:r>
    </w:p>
    <w:p>
      <w:r>
        <w:t>Schliesslich ist den Ausführungen der Vorinstanz zur Strafempfindlichkeit beizupflichten. So kann angesichts der gesundheitlichen Probleme des Beschul- digten eine leichte Strafminderung angenommen werden, was als wohlwollend erscheint. Auch wenn die Trennung von seiner Tochter für beide hart ist, ist dies als Folge des Verhaltens des Beschuldigten zu sehen. Jede Verurteilung zu einer längeren Freiheitsstrafe führt zu einer Trennung vom familiären Umfeld im Alltag. Besondere Umstände sind beim Beschuldigten nicht ersichtlich, und es dürfte möglich sein, die Folgen der Trennung durch Besuche und weitere Kontakte per Brief oder über die heute gängigen Medien etwas zu mildern.</w:t>
      </w:r>
    </w:p>
    <w:p>
      <w:r>
        <w:t>- 46 -</w:t>
      </w:r>
    </w:p>
    <w:p>
      <w:r>
        <w:rPr>
          <w:b/>
        </w:rPr>
        <w:t>E. 5.6</w:t>
      </w:r>
    </w:p>
    <w:p>
      <w:r>
        <w:t>In Abweichung von den vorinstanzlichen Erwägungen ergibt sich insgesamt bei der Gewichtung der Täterkomponenten, dass die straferhöhenden Faktoren die strafmindernden Aspekte noch deutlich überwiegen. In Nachachtung des Ver- schlechterungsverbots ist eine Erhöhung der Strafe von 66 Monaten aufgrund der Täterkomponente vorliegend jedoch ausgeschlossen. 6. Gesamtwürdigung Nach abschliessender Würdigung aller massgeblichen Strafzumessungsgründe und unter Beachtung des Verschlechterungsverbots ist eine Strafe von 66 Monaten auszusprechen. Die erstandene Untersuchungshaft von 215 Tagen sowie die im vorzeitigen Strafvollzug verbrachten 479 Tage ab 16. Mai 2018 bis heute (6. September 2019), insgesamt mithin 694 Tage, sind an die Strafe anzu- rechnen (Art. 51 StGB). VI. Vollzug Da heute - in Bestätigung der vorinstanzlichen Strafe - eine Freiheitsstrafe von 66 Monaten auszusprechen ist, kommt weder ein bedingter noch ein teilbedingter Vollzug im Sinne von Art. 42 beziehungsweise Art. 43 StGB in Frage. Die Frei- heitsstrafe ist daher zu vollziehen. VII. Widerruf In Nachachtung des Verschlechterungsverbots ist in Bestätigung des erstinstanz- lichen Entscheids auf den Widerruf der mit Strafbefehl der Staatsanwaltschaft Baden vom 14. August 2017 bedingt ausgefällten Geldstrafe zu verzichten. VIII. Ersatzforderung Die von der Vorinstanz auf Fr. 19'320.– festgesetzte Ersatzforderung für wider- rechtlich erlangten Vermögensvorteil und die Verpflichtung des Beschuldigten zur</w:t>
      </w:r>
    </w:p>
    <w:p>
      <w:r>
        <w:t>- 47 - Bezahlung dieses Betrages an den Staat ist - unter Verweis auf die entsprechen- de Begründung (Urk. 62 S. 38 f.) - zu bestätigen. IX. Entscheid über Beschlagnahmungen und sichergestellte Gegenstände Ebenso sind die erstinstanzlichen Anordnungen betreffend die beschlagnahmten und sichergestellten Vermögenswerte und Gegenstände sowie Betäubungsmittel unter Verweis auf die richtigen Ausführungen der Vorinstanz zu bestätigen (Urk. 62 S. 39 f.). X. Kosten- und Entschädigungsfolgen 1. Kosten der ersten Instanz Nachdem es auch im Rahmen des Berufungsverfahrens bei einem Schuldspruch bleibt, ist die vorinstanzliche Kostenauflage (Dispositivziffer 10) zu bestätigen (Art. 426 StPO). 2. Kosten der Berufungsinstanz Die Kosten im Rechtsmittelverfahren tragen die Parteien nach Massgabe ihres Obsiegens oder Unterliegens (Art. 428 Abs. 1 StPO). Der Beschuldigte unterliegt im Schuldpunkt vollumfänglich und auch die Sanktion ist zu bestätigen. Die Kos- ten des Berufungsverfahrens sind somit dem Beschuldigten aufzuerlegen. Es wird beschlossen:</w:t>
      </w:r>
    </w:p>
    <w:p>
      <w:r>
        <w:rPr>
          <w:b/>
        </w:rPr>
        <w:t>E. 9</w:t>
      </w:r>
    </w:p>
    <w:p>
      <w:r>
        <w:t>Januar 2018 kontrolliert (Polizeirapport: Urk. D8 1 S. 3), es wurden Minigrip mit Kokain in der Bauchtasche und in der Unterhose gefunden (vgl. dazu das vom Beschuldigten am 10. Januar 2018 unterschriebene Durchsuchungsprotokoll [Urk. D1 21/2] und die Sicherstellungsliste [Urk. D1 21/4]). Die Kontrolle und Durchsuchung erfolgte vorschriftsgemäss, die sichergestellten Betäubungsmittel sind folglich als Beweismittel verwertbar. 2. Hausdurchsuchung Die Hausdurchsuchung wurde gemäss Rapport (vgl. Urk. D8 1 S. 5) von Staats- anwalt Fasano mündlich angeordnet. Es ist sodann ein schriftlicher Hausdurchsu- chungsbefehl vom 10. Januar 2018 vorhanden (Urk. D1 21/1). Die Sicherstellung der Betäubungsmittel erfolgte korrekt. 3. Notwendige Verteidigung: Die Einvernahme bei der Polizei erfolgte in Gegenwart von Rechtsanwalt lic. iur. X4._____, Mitarbeiter des amtlichen Verteidigers Rechtsanwalt lic. iur. X2._____</w:t>
      </w:r>
    </w:p>
    <w:p>
      <w:r>
        <w:t>- 28 - (Urk. D8 2/1). Auch hier ergeben sich hinsichtlich der Verwertbarkeit keine Prob- leme. III. Sachverhalt A. Anklagevorwürfe im Zusammenhang mit der Verhaftung vom 22. Juni 2016 1. Anklagevorwürfe Dossier Nr. 1</w:t>
      </w:r>
    </w:p>
    <w:p>
      <w:r>
        <w:rPr>
          <w:b/>
        </w:rPr>
        <w:t>E. 10</w:t>
      </w:r>
    </w:p>
    <w:p>
      <w:r>
        <w:t>Monate erweist sich somit als wohlwollend, aber den Umständen angemessen (Urk. 62 S. 30 f. Ziff.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