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SB180503 vom 11. November 2019</w:t>
      </w:r>
    </w:p>
    <w:p>
      <w:r>
        <w:t>ZH Obergericht, 2019-11-11, DE</w:t>
      </w:r>
    </w:p>
    <w:p>
      <w:r>
        <w:rPr>
          <w:b/>
        </w:rPr>
        <w:t xml:space="preserve">Quelle: </w:t>
      </w:r>
      <w:r>
        <w:t>https://mcp.opencaselaw.ch/entscheid/zh_obergericht_SB180503</w:t>
      </w:r>
    </w:p>
    <w:p>
      <w:r>
        <w:t>FR: ZH_OBERGERICHT SB180503 du 11 novembre 2019</w:t>
      </w:r>
    </w:p>
    <w:p>
      <w:r>
        <w:t>IT: ZH_OBERGERICHT SB180503 del 11 novembre 2019</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60 S. 4).</w:t>
      </w:r>
    </w:p>
    <w:p>
      <w:r>
        <w:rPr>
          <w:b/>
        </w:rPr>
        <w:t>E. 2</w:t>
      </w:r>
    </w:p>
    <w:p>
      <w:r>
        <w:t>Mit Urteil des Bezirksgerichts Zürich vom 3. Juli 2018 wurde der Beschuldigte A._____ der qualifizierten Widerhandlung gegen das Betäubungsmittelgesetz im Sinne von Art. 19 Abs. 1 lit. b-d in Verbindung mit Art. 19 Abs. 2 lit. a BetmG schuldig gesprochen und mit einer Freiheitsstrafe von 20 Monaten, unter Anrechnung von 107 Tagen Haft, bestraft. Der Vollzug der Freiheitsstrafe wurde aufgeschoben und die Probezeit auf zwei Jahre festgesetzt. Der Beschuldigte wurde für fünf Jahre des Landes verwiesen. Die Landesverweisung wurde im Schengener Informationssystem ausgeschrieben. Das beschlagnahmte Mobiltelefon wurde eingezogen und dessen Vernichtung angeordnet. Die Kosten des Vorverfahrens und des gerichtlichen Verfahrens, ausgenommen diejenigen der amtlichen Verteidigung, wurden dem Beschuldigten auferlegt. Die Kosten der amtlichen Verteidigung wurden unter Nachforderungsvorbehalt auf die Gerichtskasse genommen (Urk. 60 S. 25 f.).</w:t>
      </w:r>
    </w:p>
    <w:p>
      <w:r>
        <w:rPr>
          <w:b/>
        </w:rPr>
        <w:t>E. 2.1</w:t>
      </w:r>
    </w:p>
    <w:p>
      <w:r>
        <w:t>Die Anklagebehörde stützt sich zum Beweis des von ihr behaupteten Sachverhalts im Wesentlichen auf die Aussagen des Beschuldigten, von C._____ (Urk. 5/1-5), von E._____ (Urk. 6/1-4), auf die Aufzeichnung eines Chatverlaufs der App "Wickr Me" (Urk. 12/2), auf das sichergestellte Kokain (Urk. 3/3; Urk. 13/2) sowie den Wahrnehmungsbericht der Kantonspolizei Zürich (Urk. 8/1).</w:t>
      </w:r>
    </w:p>
    <w:p>
      <w:r>
        <w:t>- 6 -</w:t>
      </w:r>
    </w:p>
    <w:p>
      <w:r>
        <w:rPr>
          <w:b/>
        </w:rPr>
        <w:t>E. 2.2</w:t>
      </w:r>
    </w:p>
    <w:p>
      <w:r>
        <w:t>Der Beschuldigte stellte sich vor Vorinstanz auf den Standpunkt, seine polizeiliche Einvernahme vom 8. Februar 2018 (Urk. 4/1) sei unverwertbar, da er zu diesem Zeitpunkt nicht anwaltlich vertreten gewesen sei, obwohl es sich aufgrund des Verdachts einer schweren Widerhandlung gegen das Betäubungsmittelgesetz um einen Fall notwendiger Verteidigung gehandelt habe (Prot. I S. 29). Ein Beschuldigter muss verteidigt werden, wenn ihm eine Freiheitsstrafe von mehr als einem Jahr oder eine Landesverweisung droht (Art. 130 lit. b StPO). Beweise, welche vor Sicherstellung der notwendigen Verteidigung erhoben wurden, sind sodann nicht verwertbar, wenn erkennbar gewesen war, dass ein Fall einer notwendigen Verteidigung vorliegt und die beschuldigte Person nicht auf deren Wiederholung verzichtet hat (Art. 131 Abs. 3 StPO). Wie die Vorinstanz zutreffend ausführte, war bereits vor der ersten Einvernahme des Beschuldigten erkennbar, dass ein Fall notwendiger Verteidigung vorliegt, da aufgrund der Menge des sichergestellten Kokains selbst bei einem sehr geringen Reinheitsgehalts eine qualifizierte Widerhandlung gegen das Betäubungs- mittelgesetz gegeben war. Im Übrigen kann auf die zutreffenden Ausführungen der Vorinstanz verwiesen werden (Urk. 60 S. 4 ff.). Die polizeiliche Einvernahme des Beschuldigten vom 8. Februar 2018 ist damit nicht zu Ungunsten des Beschuldigten verwertbar.</w:t>
      </w:r>
    </w:p>
    <w:p>
      <w:r>
        <w:rPr>
          <w:b/>
        </w:rPr>
        <w:t>E. 2.3</w:t>
      </w:r>
    </w:p>
    <w:p>
      <w:r>
        <w:t>Die Verteidigung kritisierte anlässlich der heutigen Berufungsverhandlung, die getrennte Verfahrensführung gegen den Beschuldigten, C._____ sowie E._____ und machte die Unverwertbarkeit der den Beschuldigten belastenden Aussagen geltend (Urk. 77 S. 4). Gemäss Art. 29 Abs. 1 lit. b StPO werden Straftaten gemeinsam verfolgt und beurteilt, wenn Mittäterschaft oder Teilnahme vorliegt. Der Grundsatz der Ver- fahrenseinheit bezweckt die Verhinderung sich widersprechender Urteile, sei dies bei der Sachverhaltsfeststellung, der rechtlichen Würdigung oder der Strafzumessung. Er gewährleistet das Gleichbehandlungsgebot (Urteil des Bundesgerichts 6B_1026/2017 vom 1. Juni 2018, E. 1.1). Aus sachlichen</w:t>
      </w:r>
    </w:p>
    <w:p>
      <w:r>
        <w:t>- 7 - Gründen können die Staatsanwaltschaft und die Gerichte Strafverfahren jedoch auch trennen oder in anderen als in Art. 29 StPO erwähnten Fällen vereinen (Art. 30 StPO). Die gemeinsame Verfolgung und Beurteilung von Straftaten setzt nach Art. 29 Abs. 1 lit. b StPO grundsätzlich Mittäterschaft oder Teilnahme voraus. Bei Betäubungsmitteldelikten handelt es sich zwar um Delikte, die sich typischerweise durch Arbeitsteilung auszeichnen und von mehreren Personen in unterschied- lichen Rollen gemeinsam begangen werden (Peter Albrecht, Stämpflis Handkommentar, Die Strafbestimmungen des Betäubungsmittelgesetzes [Art. 19– 28l BetmG], 3. Aufl., Bern 2016, Art. 19 N 148 m.w.H.). Angesichts der extrem weiten Fassung der Verbotsmaterie in Art. 19 Abs. 1 BetmG ist jedoch zu beachten, dass verschiedene der aufgezählten verbotenen Handlungen den Charakter der Mittäterschaft oder einer Teilnahme an Drogengeschäften von Drittpersonen aufweisen können, gleichwohl aber als selbständige Straftatbestände eingestuft sind (Albrecht, a.a.O, Art. 19 N 149; Urteil des Bundesgerichts 6B_1026/2017 vom 1. Juni 2018, E. 1.2.2). Gemäss ständiger bundesgerichtlicher Rechtsprechung gilt demnach, wer in eigener Person alle Merkmale eines in Art. 19 Abs. 1 BetmG umschriebenen Tatbestandes objektiv und subjektiv erfüllt, als Täter und untersteht als solcher der vollen Strafdrohung (BGE 142 IV 401 E. 3.3.2; BGE 133 IV 187 E. 3.2; BGE 119 IV 266 E. 3a; BGE 118 IV 397 E. 2c; BGE 106 IV 72 E. 2b; Urteil des Bundesgerichts 6B_1026/2017 vom 1. Juni 2018, E. 1.2.2). Sodann macht auch ein allfälliges Unterordnungsverhältnis einen Täter rechtlich nicht zum Gehilfen (BGE 133 IV 187 E. 3.3). Überdies gelten Lieferanten und Abnehmer als Akteure verschiedener Hierarchiestufen und sind daher nicht als Mittäter zu betrachten (Urteil des Bundesgerichts 6B_1026/2017 vom 1. Juni 2018, E. 1.2.2). Und auch der Kurier, der zwar ausschliesslich durch den Transport der Drogen zu deren Umsetzung beiträgt und keine wesentlichen, über diesen Transport hinausgehenden Leistungen erbringt, handelt als Täter im Sinne der illegalen Drogenbeförderung und nicht nur als Gehilfe einer fremden Tat, obschon er Beihilfe zum Handeltreiben leistet (Gustav Hug-Beeli, Betäubungsmittelgesetz</w:t>
      </w:r>
    </w:p>
    <w:p>
      <w:r>
        <w:t>- 8 - (BetmG), Kommentar zum Bundesgesetz über die Betäubungsmittel und die psychotropen Stoffe vom 3. Oktober 1951, Basel 2016, Art. 19 N 312). Sowohl dem Beschuldigten wie auch C._____ wird vorgeworfen, in eigener Person einen Straftatbestand nach Art. 19 Abs. 1 BetmG erfüllt zu haben. Damit gelten sie im Sinne der ständigen bundesgerichtlichen Rechtsprechung nicht als Mittäter. Der von der Verteidigung (sinngemäss) angerufene Art. 29 Abs. 1 lit. b StPO, welcher die Beurteilung von Mittätern und Teilnehmern in einem Verfahren gebietet, ist demzufolge vorliegend nicht anwendbar. Hinzu kommt, dass dem Beschuldigten andere Taten zur Last gelegt werden als dies bei C._____ der Fall ist. Gemäss Anklage soll der Beschuldigte das Kokain entgegengenommen und transportiert haben, was für eine reine Kuriertätigkeit sprechen würde (Hug-Beeli, a.a.O., Art. 19 N 312 f.). Demgegenüber ergibt sich aus den Akten, dass C._____ das Kokain angeboten, organisiert, entgegengenommen und weitergegeben sowie die Bezahlung des Kokains angenommen haben soll. C._____ könnte demnach nicht mehr als blosser Kurier eingestuft werden (vgl. auch Hug-Beeli, a.a.O., Art. 19 N 313). Dadurch zeichnen sich unterschiedliche Hierarchiestufen ab und auch vor diesem Hintergrund können der Beschuldigte und C._____ nicht als Mittäter gelten (Urteil des Bundesgerichts 6B_1026/2017 vom 1. Juni 2018, E. 1.2.2). Vielmehr liegt hier ein arbeitsteiliges Verhalten im klassischen Sinne vor. Damit ist die getrennte Führung der Untersuchung durch die Staatsanwaltschaft nicht zu beanstanden. Dass die Verfahren vor Vorinstanz und Obergericht gemeinsam verhandelt wurden, ändert am Gesagten im Übrigen auch nichts, denn es fand keine Vereinigung der Verfahren statt. Zudem entstanden für den Beschuldigten keine Nachteile, wurde doch eine Konfrontationseinvernahme mit C._____ durchgeführt (Urk. 4/4). Gleich liegt der Fall auch für das separat geführte Verfahren von E._____. Auch E._____ soll – wie sich aus den Akten ergibt – in eigener Person Straftatbestände nach Art. 19 Abs. 1 BetmG erfüllt haben und kann deshalb nicht als Mittäter im Sinne von Art. 29 Abs. 1 lit. b StPO qualifiziert werden. Die gegenüber E._____ erhobenen Vorwürfe betreffen zudem u.a. Widerhandlungen im Zusammenhang mit dem Handel mit Kokain, wobei ihm die Rolle des Organisators und</w:t>
      </w:r>
    </w:p>
    <w:p>
      <w:r>
        <w:t>- 9 - Koordinators zugekommen sein soll (Urk. 1 S. 5). Demnach sind andere Handlungen als im Rahmen des vorliegenden Verfahrens anklagegegenständlich. Zusammenfassend ist demzufolge auch bei diesen beiden Verfahren eine Vereinigung ausgeschlossen (Urteil des Bundesgerichts 6B_1026/2017 vom 1. Juni 2018, E. 1.2.2). Im Übrigen liegen auch keine sachlichen Gründe vor, welche Veranlassung geboten hätten, die Verfahren nach Art. 30 StPO zu vereinigen. Auch hier wurde der Beschuldigte mit E._____ konfrontiert (Urk. 6/4), weshalb ihm keinerlei Nachteile entstanden sind. Aufgrund dieser Ausführungen ergibt sich, dass der Beschuldigte, C._____ C._____ und E._____ nicht Mittäter sind und die getrennte Führung der Verfahren nicht gegen Art. 29 StPO verstösst. Die Aussagen dieser Personen sind demnach im vorliegenden Verfahren verwertbar. 3. Der Beschuldigte anerkennt, ein Päckchen unbekannten Inhaltes von einer anderen Person entgegengenommen und am nächsten Tag an eine andere unbekannte Person weitergegeben zu haben. Dafür seien ihm Fr. 500.– in Aussicht gestellt worden. Der Beschuldigte erklärte, sich nicht sicher zu sein, wem er das Paket tatsächlich übergeben habe. Es sei jedoch korrekt, dass er das Paket einer weiteren Person im Coiffeur-Salon übergeben und nicht einfach hingelegt habe. Er könne aber nicht mit Sicherheit sagen, ob er das Paket C._____ übergeben habe (Prot. I S. 20 f.). Zudem will er nicht gewusst haben, dass sich im transportierten Päckchen eine grössere Menge Kokain befunden hat. Er sei jedoch davon ausgegangen, dass es sich beim Inhalt um etwas Illegales gehandelt habe (Prot. I S. 19). Im Weiteren anerkennt der Beschuldigte das Gutachten, wonach das sichergestellte Kokain 194 Gramm schwer war und einen Reinheitsgrad von 96% aufweist (Urk. 4/5 S. 2). Ebenfalls anerkannt ist der Wahrnehmungsbericht der Kantonspolizei Zürich (Urk. 8/3). Im Folgenden ist zu prüfen, ob sich in dem vom Beschuldigten transportierten Päckchen tatsächlich das später bei E._____ vorgefundene (194 Gramm) Kokain befand und ob der Beschuldigte mit Bezug auf den Inhalt des Päckchens vorsätzlich oder zumindest eventualvorsätzlich gehandelt hat (vgl. Urk. 50 S. 3).</w:t>
      </w:r>
    </w:p>
    <w:p>
      <w:r>
        <w:t>- 10 - 4. Betreffend die allgemeinen Grundsätze für die Beweiswürdigung kann auf die zutreffenden Ausführungen der Vorinstanz verwiesen werden (Art. 82 Abs. 4 StPO; Urk. 60 S. 8 ff.).</w:t>
      </w:r>
    </w:p>
    <w:p>
      <w:r>
        <w:rPr>
          <w:b/>
        </w:rPr>
        <w:t>E. 3</w:t>
      </w:r>
    </w:p>
    <w:p>
      <w:r>
        <w:t>Gegen dieses Urteil des Bezirksgerichts Zürich meldete der Beschuldigte mit Eingabe vom 9. Juli 2018 die Berufung an (Urk. 55). Mit Eingabe vom</w:t>
      </w:r>
    </w:p>
    <w:p>
      <w:r>
        <w:rPr>
          <w:b/>
        </w:rPr>
        <w:t>E. 3.1</w:t>
      </w:r>
    </w:p>
    <w:p>
      <w:r>
        <w:t>Von einem schweren persönlichen Härtefall ist bei einem Eingriff von einer gewissen Tragweite in den Anspruch des Ausländers auf das in Art. 13 BV und Art. 8 EMRK verankerte Recht auf Achtung des Privat- und Familienlebens auszugehen. Zum geschützten Familienkreis gemäss Art. 8 EMRK gehört in erster Linie die Kernfamilie, d.h. die Gemeinschaft der Ehegatten mit ihren minderjährigen Kindern. Andere familiäre Verhältnisse fallen in den Schutzbereich,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Bei hinreichender Intensität sind auch Beziehungen zwischen nahen Verwandten wie Geschwistern oder Tanten und Nichten von Bedeutung, doch muss in diesem Fall ein über die üblichen familiären</w:t>
      </w:r>
    </w:p>
    <w:p>
      <w:r>
        <w:t>- 31 - Beziehungen bzw. emotionalen Bindungen hinausgehendes, besonderes Abhängigkeitsverhältnis bestehen. Das geschützte Recht auf Achtung des Familienlebens ist berührt, wenn eine staatliche Entfernungs- oder Fernhaltemassnahme eine nahe, echte und tatsächlich gelebte familiäre Beziehung einer in der Schweiz gefestigt anwesenheitsberechtigten Person beeinträchtigt ist, ohne dass es dieser ohne Weiteres möglich bzw. zumutbar wäre, ihr Familienleben andernorts zu pflegen (Urteil des Bundesgerichts 6B_1070/2018 vom 14. August 2019 E. 6.3.1 und E. 6.3.2 mit weiteren Hinweisen).</w:t>
      </w:r>
    </w:p>
    <w:p>
      <w:r>
        <w:rPr>
          <w:b/>
        </w:rPr>
        <w:t>E. 3.2</w:t>
      </w:r>
    </w:p>
    <w:p>
      <w:r>
        <w:t>Der Anspruch auf Achtung des Familienlebens gilt nicht absolut. 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aufenthaltsbeendenden Massnahme verbundene Dauer der Fernhaltung. Keines dieser Elemente ist für sich allein ausschlaggebend. Erforderlich ist vielmehr eine Würdigung der gesamten Umstände im Einzelfall. Art. 66a StGB ist EMRK-konform auszulegen. Die Interessenabwägung im Rahmen der Härtefallklausel von Art. 66a Abs. 2 StGB hat sich an der Verhältnismässigkeitsprüfung nach Art. 8 Ziff. 2 EMRK zu orientieren (Urteil des Bundesgerichts 6B_1070/2018 vom 14. August 2019 E. 6.3.3 und E. 6.3.4 mit weiteren Hinweisen). 4. Der Beschuldigte stammt aus K._____ und M._____. Er wurde 1983 in K._____ geboren und ist dort mit einem älteren Bruder bei den Eltern aufge- wachsen. Nach dem Besuch von 8 Jahren Grundschule absolvierte er während 4 Jahren die Mittelschule im Bereich Landwirtschaft, welche er als Techniker im Landwirtschaftsbereich abschloss. Danach begab er sich für sechs Monate ins Militär. Nach dem Militär arbeitete er ca. zwei Jahre an einer Tankstelle, absolvierte einen Goldschmidkurs und arbeitete dann ca. ein Jahr als</w:t>
      </w:r>
    </w:p>
    <w:p>
      <w:r>
        <w:t>- 32 - Goldschmid. Anschliessend arbeitete er in einem Labor für künstliche Befruchtung von Tieren. Im Alter von 30 Jahren kam der Beschuldigte dann in die Schweiz. Damit verbrachte der Beschuldigte die lebensprägenden Jahre, nämlich seine Kindheit, Jugend und junges Erwachsenenalter in seinem Heimatland. Im Jahre 2011 lernte der Beschuldigte seine spätere Ehefrau in K._____ kennen. Die Heirat fand 2013 statt. Seit Oktober 2013 wohnt der Beschuldigte in der Schweiz. In den Jahren 2014 und 2016 kamen seine Kinder zur Welt. Ab Beginn des Jahres 2014 arbeitete der Beschuldigte für ca. zwei Jahre als Arbeiter in der Logistik, wobei seine Einsätze jeweils auf drei Monate befristet waren. Danach arbeitete er als Hilfsarbeiter für Bodenheizungen, in der Fenstermontage und in der Reinigung. Einen Monat nach seiner Entlassung aus der Haft hat der Beschuldigte eine Stelle in der Gartenpflege angetreten (Urk. 76/4.1-4.3). Die Ehefrau des Beschuldigten ist diplomierte Krankenschwester und arbeitet nachts mit einem Vollzeitpensum im Spital I._____. Während der Arbeitszeit seiner Ehefrau übernimmt der Beschuldigte die Betreuung der Kinder. In der Untersuchung führte der Beschuldigte aus, dass nur seine Ehefrau und die zwei Kinder in der Schweiz leben würden (Urk. 4/5 S. 5). Vor Vorinstanz brachte der Beschuldigte dann vor, dass ein Onkel mit seinen Kindern sowie ein weiterer Verwandter ein der Schweiz leben würden (Prot. I S. 11). Die Deutschkenntnisse des Beschuldigten sind gemäss seinen eigenen Angaben nicht so gut (Urk. 4/5 S. 6) Im vorliegenden Verfahren musste der Beschuldigte durchwegs die Dienste eines Dolmetschers in Anspruch nehmen. Insgesamt lebt der Beschuldigte soweit in geregelten Verhältnissen, hat sich in der Schweiz jedoch nur mässig integriert. Seine sozialen Kontakte beschränken sich hauptsächlich auf seine Kernfamilie, wobei er vor allem mit seinen Kindern viel Zeit verbringt (Urk. 75 S. 5). Nicht gefolgt werden kann in diesem Zusammenhang dem Vorbringen der Verteidigung, es sei üblich, dass sich Paare mit Kindern quasi aus der Gesellschaft verabschieden, diese plötzlich "nicht mehr da" seien (Prot. II S. 21). Richtig ist es zwar, dass Eltern mit Neugeborenen sicher weniger am sozialen Leben teilnehmen können. Dass diese dadurch aber unisono ihren Freundeskreis verlieren würden, trifft nicht zu. Dass es dem Beschuldigten an einem nennenswerten sozialen Netz ausserhalb seiner Kernfamilie mangelt, kann damit</w:t>
      </w:r>
    </w:p>
    <w:p>
      <w:r>
        <w:t>- 33 - jedenfalls nicht begründet werden. Eine gewisse Verwurzelung in der Schweiz durch regelmässige Erwerbstätigkeit erfolgte erst in jüngster Vergangenheit. Ansonsten arbeitete der Beschuldigte lediglich bei Gelegenheit und in wechselnden Pensen. Auch spricht er keine Landessprache. Die persönlichen Interessen des Beschuldigten an einem Verbleib in der Schweiz ergibt sich aus dem Umstand, dass seine Kinder hier leben. Die Kinder sind noch klein, weshalb es der Familie zuzumuten ist, mit dem Vater nach K._____ zu gehen. Dies auch vor dem Hintergrund, dass die Kinder offenbar zweisprachig aufwachsen und die Familiensprache Serbisch ist (vgl. Urk. 76/6). Sollte sich die Ehefrau dagegen entscheiden, dem Beschuldigten nach K._____ zu folgen, so wäre es der Familie möglich, mithilfe von modernen Kommunikationsmitteln regelmässigen Kontakt zu pflegen. Sodann ist auch die räumliche Distanz nicht derart, dass sie keine regelmässigen Zusammenführungen der Familie ermöglichen würde. Im Heimatland des Beschuldigten leben noch seine Eltern und sein Bruder mit dessen Familie. Gemäss den Angaben des Beschuldigten anlässlich der heutigen Berufungsverhandlung ist der Kontakt zu diesen gut und er telefoniert regel- mässig mit ihnen (Urk. 75 S. 4). Zudem leben auch die Eltern der Ehefrau des Beschuldigten in K._____, zu welchen der Beschuldigte gemäss Angaben der Verteidigung einen guten Bezug hat (Prot. II S. 21). Der Beschuldigte selbst hielt sich letztmals im Januar 2018 in K._____ auf. Ein- bis zweimal jährlich besucht der Beschuldigte sein Heimatland. Durch sein Aufwachsen und seine Ausbildung in K._____ mit der anschliessenden Tätigkeit im erlernten Beruf ist der Beschuldigte mit der Sprache und der Kultur in K._____ bestens vertraut, auch wenn er seit rund 6 Jahren nicht mehr dort wohnte. Zugegebenermassen sind die wirtschaftlichen Verhältnisse im Heimatland des Beschuldigten mit der Verteidigung (Prot. II S. 20 f.) schwierig. Indessen wird der Beschuldigte seinen Beruf auch in seinem Heimatland ausüben können, was er auch bereits früher getan hat. In der Schweiz arbeitete er nie auf dem erlernten Beruf. Ebenfalls nicht gegen eine Landesverweisung sprechen die veränderten Wohnverhältnisse im Elternhaus des Beschuldigten (vgl. Urk. 75 S. 4; Urk. 77 S. 13; Prot. II S. 21). Wohl scheint es für den Beschuldigten schwierig, jedoch nicht unmöglich, sich in seinem Heimatland wieder zurechtzufinden.</w:t>
      </w:r>
    </w:p>
    <w:p>
      <w:r>
        <w:t>- 34 - In Bezug auf die finanziellen Verhältnisse gilt es zu beachten, dass bis anhin nicht der Beschuldigte, sondern seine Ehefrau mit einem monatlichen Einkommen von Fr. 6'000.– bis Fr. 6'500.– die Familie finanzierte. Erst in jüngerer Vergangenheit konnte der Beschuldigte die Familie finanziell unterstützen. Mit der Wegweisung des Beschuldigten würde die Familie deshalb nicht ihren Alleinernährer verlieren. Gegen den Verbleib des Beschuldigten in der Schweiz und für ein öffentliches Interesse an dessen Wegweisung spricht die von diesem ausgehende Gefahr für weitere Straftaten. Die qualifizierte Widerhandlung gegen das Betäubungs- mittelgesetz aus pekuniären Motiven gilt als schwere Straftat, von welcher eine schwerwiegende Gefahr für die öffentliche Ordnung ausgeht. Wohl war der Beschuldigte nicht in grösserem Stil im Drogenhandel tätig. Dennoch nahm er am 6. Februar 2018 das Kokain entgegen und transportierte es am 7. Februar 2018 nach Zürich. Das Kokain war daher für Dritte bestimmt, womit er die Gesundheit vieler Menschen in Gefahr brachte. Das vom Beschuldigten begangene Delikt widerspricht dem öffentlichen Sicherheitsinteresse. Zur Zeit der Begehung der vom Beschuldigten begangenen Straftat war er schon über 34 Jahre alt. 5. Insgesamt erweist sich die Landesverweisung als angebracht, liegt weder ein schwerer persönlicher Härtefall vor, noch überwiegen die privaten Interessen des Beschuldigten an einem Verbleib in der Schweiz die öffentlichen Interessen. Es ist daher eine Landesverweisung auszusprechen. 6. Die Vorinstanz sprach eine Landesverweisung für die Dauer von fünf Jahren aus. Das entspricht der minimalen Dauer der Landesverweisung. Aufgrund des Verschlechterungsverbotes ist die Dauer der Landesverweisung gemäss dem vorinstanzlichen Urteil zu bestätigen. 7. Am 1. März 2017 ist die Verordnung über die Einführung der Landesver- weisung in Kraft getreten. Art. 20 der Verordnung über den nationalen Teil des Schengener Informationssystems und das SIRENE-Büro (N-SIS-Verordnung vom</w:t>
      </w:r>
    </w:p>
    <w:p>
      <w:r>
        <w:rPr>
          <w:b/>
        </w:rPr>
        <w:t>E. 3.3</w:t>
      </w:r>
    </w:p>
    <w:p>
      <w:r>
        <w:t>Zu seinen Beweggründen für die Tat befragt, erklärte der Beschuldigte, er habe im Tatzeitpunkt Schulden gehabt. Aufgrund seiner Arbeitslosigkeit sei er bei der Bank mit Fr. 500.– ins Minus gerutscht (Prot. I S. 21). Damit machte der Beschuldigte vor Vorinstanz noch eine finanzielle Notlage als Motiv geltend. Anlässlich der heutigen Berufungsverhandlung erklärte die Verteidigung explizit, dass der Beschuldigte nicht in völliger finanzieller Bedrängnis gewesen sei (Prot. II S. 19). Eine finanzielle Notlage könnte im Übrigen auch nicht bejaht werden. Wohl ging der Beschuldigte im Zeitpunkt der Tat keiner Erwerbstätigkeit nach, welche ihm vorher durchschnittlich Fr. 2'000.– pro Monat einbrachte. Doch war es seit jeher die Ehefrau des Beschuldigten, welche mit ihrem monatlichen Einkommen von Fr. 6'000.– bis Fr. 6'500.– hauptsächlich für den Unterhalt der Familie aufkam. Der Beschuldigte befand sich daher in keiner finanziellen Not- lage, welche die Delinquenz rechtfertigen würde. Der Beschuldigte führte den Drogentransport nicht wegen seiner finanziellen Notlage, sondern einzig aus finanziellen und damit egoistischen Motiven aus.</w:t>
      </w:r>
    </w:p>
    <w:p>
      <w:r>
        <w:rPr>
          <w:b/>
        </w:rPr>
        <w:t>E. 3.4</w:t>
      </w:r>
    </w:p>
    <w:p>
      <w:r>
        <w:t>Der Beschuldigte äusserte sich nie dahingehend, selbst Drogen zu konsumieren. Auch die Verteidigung verneinte einen Eigenkonsum des Beschuldigten (Prot. II S. 19). Beschaffungskriminalität fällt somit ausser Betracht.</w:t>
      </w:r>
    </w:p>
    <w:p>
      <w:r>
        <w:rPr>
          <w:b/>
        </w:rPr>
        <w:t>E. 3.5</w:t>
      </w:r>
    </w:p>
    <w:p>
      <w:r>
        <w:t>Weiter ist das Mass an Entscheidungsfreiheit des Beschuldigten zu berücksichtigen. Je leichter es für ihn gewesen wäre, die von ihm übertretene Norm zu respektieren, desto schwerer wiegt seine Entscheidung gegen sie und damit seine Schuld (BGE 127 IV 101 E. 2a). Das Geschehene entsprach dem Willen des Beschuldigten. Er handelte somit weder in schwerer Bedrängnis noch unter dem Eindruck einer schweren Drohung. Es bestehen auch keine Anhaltspunkte für ein Handeln in schwerer Bedrängnis. Der Beschuldigte besass somit hinsichtlich seines Entscheides, Drogen entgegenzunehmen, zu transportieren und anschliessend weiterzugeben jegliche Entscheidungsfreiheit.</w:t>
      </w:r>
    </w:p>
    <w:p>
      <w:r>
        <w:rPr>
          <w:b/>
        </w:rPr>
        <w:t>E. 3.6</w:t>
      </w:r>
    </w:p>
    <w:p>
      <w:r>
        <w:t>Insgesamt wird die objektive Tatschwere durch die subjektiven Komponenten nicht relativiert.</w:t>
      </w:r>
    </w:p>
    <w:p>
      <w:r>
        <w:t>- 26 - 4. Zusammenfassend ist das Verschulden des Beschuldigten in Anbetracht des vorgegebenen weiten Strafrahmens als leicht zu qualifizieren. Die Einsatzstrafe aufgrund der Tatkomponente liegt mithin im Bereich von 22 bis 24 Monaten Freiheitsstrafe. 5. Täterkomponente</w:t>
      </w:r>
    </w:p>
    <w:p>
      <w:r>
        <w:rPr>
          <w:b/>
        </w:rPr>
        <w:t>E. 5</w:t>
      </w:r>
    </w:p>
    <w:p>
      <w:r>
        <w:t>Die Vorinstanz nahm eine sorgfältige Würdigung der Aussagen des Beschuldigten, von E._____ sowie der weiteren Beweismittel vor und gelangte zum Schluss, dass sich der dem Beschuldigten vorgeworfene Sachverhalt erstellen liess. Auf diese vorinstanzlichen Ausführungen kann vollumfänglich verwiesen werden (Art. 82 Abs. 4 StPO; Urk. 60 S. 10 ff.). Die vorinstanzlichen Ausführungen sind nachfolgend zu präzisieren bzw. zu vertiefen. Wie bereits ausgeführt, ist die erste polizeiliche Einvernahme des Beschuldigten vom 8. Februar 2018 (Urk. 4/1) nicht zu Ungunsten des Beschuldigen verwertbar. Ebenfalls nicht zu Ungunsten des Beschuldigten verwertbar sind die nachfolgenden Einvernahmen, soweit sie auf die polizeiliche Einvernahme vom</w:t>
      </w:r>
    </w:p>
    <w:p>
      <w:r>
        <w:rPr>
          <w:b/>
        </w:rPr>
        <w:t>E. 5.1</w:t>
      </w:r>
    </w:p>
    <w:p>
      <w:r>
        <w:t>Zum Vorleben und den persönlichen Verhältnissen kann vorab auf die Untersuchungsakten und die Erwägungen im angefochtenen Entscheid verwiesen werden (Art. 82 Abs. 4 StPO; Urk. 60 S. 17 f.). Sodann machte der Beschuldigte anlässlich der heutigen Berufungsverhandlung teilweise ergänzende respektive korrigierende Angaben (Urk. 75 S. 2 ff.). Zusammenfassend ist Folgendes fest- zuhalten: Der am tt. Mai 1983 in K._____ geborene Beschuldigte wuchs dort mit seinem älteren Bruder bei seinen Eltern auf. Nach dem Besuch von 8 Jahren Grundschule absolvierte er während 4 Jahren die Mittelschule im Bereich Landwirtschaft, welche er als Techniker im Landwirtschaftsbereich abschloss. Danach begab er sich für sechs Monate ins Militär. Nach dem Militär arbeitete er ca. zwei Jahre an einer Tankstelle, absolvierte einen Goldschmidkurs und arbeitete dann ca. ein Jahr als Goldschmid. Anschliessend arbeitete er in einem Labor für künstliche Befruchtung von Tieren. Im Alter von 30 Jahren, im Oktober 2013, kam der Beschuldigte dann in die Schweiz. Seit 2013 ist der Beschuldigte verheiratet. In den Jahren 2014 und 2016 kamen seine Kinder zur Welt. Ab Beginn des Jahres 2014 arbeitete der Beschuldigte für ca. zwei Jahre als Arbeiter in der Logistik, wobei seine Einsätze jeweils auf drei Monate befristet waren. Danach arbeitete er als Hilfsarbeiter für Bodenheizungen, in der Fenstermontage und in der Reinigung. Einen Monat nach seiner Entlassung aus der Haft hat der Beschuldigte eine Stelle in der Gartenpflege angetreten, wo er monatlich Fr. 4'100 brutto verdient (Urk. 76/4.1-4.3). Die Ehefrau des Beschuldigten ist diplomierte Krankenschwester und arbeitet nachts mit einem Vollzeitpensum im Spital I._____. Während der Arbeitszeit seiner Ehefrau übernimmt der Beschuldigte die Betreuung der Kinder.</w:t>
      </w:r>
    </w:p>
    <w:p>
      <w:r>
        <w:t>- 27 - Aus dem Werdegang des Beschuldigten und seinen persönlichen und finanziellen Verhältnissen ergeben sich, wie die Vorinstanz richtig festgestellt hat, keine strafzumessungsrelevanten Faktoren.</w:t>
      </w:r>
    </w:p>
    <w:p>
      <w:r>
        <w:rPr>
          <w:b/>
        </w:rPr>
        <w:t>E. 5.2</w:t>
      </w:r>
    </w:p>
    <w:p>
      <w:r>
        <w:t>Vorstrafen Der Beschuldigte weist keinerlei Vorstrafen auf (Urk. 73), was strafzumessungsneutral zu werten ist.</w:t>
      </w:r>
    </w:p>
    <w:p>
      <w:r>
        <w:rPr>
          <w:b/>
        </w:rPr>
        <w:t>E. 5.3</w:t>
      </w:r>
    </w:p>
    <w:p>
      <w:r>
        <w:t>Nachtatverhalten Bei der Strafzumessung ist auch das Nachtatverhalten eines Täters zu beachten. Gemäss der bundesgerichtlichen Rechtsprechung ist ein Geständnis zugunsten des Täters zu berücksichtigen, wenn es auf Einsicht in das begangene Unrecht oder auf Reue schliessen lässt oder der Täter dadurch zur Tataufdeckung über den eigenen Tatanteil beiträgt (BGE 121 IV 202 E. 2d/cc). Diese Praxis beruht auf der Überlegung, dass Geständnisse zur Vereinfachung und Verkürzung des Verfahrens und zur Wahrheitsfindung beitragen können. Ein Verzicht auf Strafminderung kann sich demgegenüber deshalb aufdrängen, wenn das Geständnis die Strafverfolgung nicht erleichterte, namentlich weil der Täter nur aufgrund der erdrückenden Beweislage oder gar erst nach Ausfällung des erstinstanzlichen Urteils geständig wurde (Urteil des Bundesgerichts 6B_426/2010 vom 22. Juli 2010, E.1.5). Der Beschuldigte gab von Anfang an zu, im Auftrag von "F._____" ein Paket entgegengenommen, es in einen Coiffeur- Salon nach Zürich transportiert und es dort einem Mann übergeben zu haben. Auch äusserte sich der Beschuldigte dahingehend, dass ihm das Ganze Leid tue und er es bereue. Es ist ihm daher zugute zu halten, dass er von Anfang an ein Geständnis ablegte. Nachdem die Polizei beobachtete, dass der Beschuldigte den Coiffeur-Salon betrat, daraufhin C._____ den Coiffeur-Salon verliess, sich ins Restaurant G._____ begab, wieder zurück in den Coiffeur-Salon kam, wo der Beschuldigte und C._____ verhaftet wurden (Urk. 8/1) und E._____ aussagte, C._____ habe ihm 200 Gramm Kokain gegen Bezahlung von Fr. 10'000.– übergeben (Urk. 6/2 S. 1 f.) und die Fr. 10'000.– anlässlich der Verhaftung auf C._____ sichergestellt wurden, hat das Geständnis des Beschuldigten die Unter- suchung allerdings nicht wesentlich erleichtert. Auch zeigte der Beschuldigte kein</w:t>
      </w:r>
    </w:p>
    <w:p>
      <w:r>
        <w:t>- 28 - kooperatives Verhalten, wozu gehören würde, dass beispielsweise aufgrund seiner Aussagen weitere Delikte aufgeklärt oder Mittäter zur Rechenschaft gezogen werden könnten. Seine Aussagen betreffend seinen Auftraggeber "F._____" beschränken sich dahingehend, dass er den Mann kennt, und er nicht sagen möchte, wer "F._____" ist, weil er Angst um seine Familie habe (Urk. 4/4 S. 11). Somit fehlt es an einem mit aufrichtiger Reue und Einsicht verbundenen Geständnis, auch wenn sich der Beschuldigte anlässlich der heutigen Berufungsverhandlung entschuldigte (Prot. II S. 22). Das Nachtatverhalten kann lediglich minim strafmindernd berücksichtigt werden.</w:t>
      </w:r>
    </w:p>
    <w:p>
      <w:r>
        <w:rPr>
          <w:b/>
        </w:rPr>
        <w:t>E. 5.4</w:t>
      </w:r>
    </w:p>
    <w:p>
      <w:r>
        <w:t>Schliesslich ist die Wirkung der Strafe auf das Leben des Beschuldigten zu berücksichtigen. Damit ist die Strafempfindlichkeit des Täters angesprochen. Die Berücksichtigung der Strafempfindlichkeit kommt nur bei aussergewöhnlichen Umständen in Betracht (Urteile des Bundesgerichts 6B_860/2018 vom 18. Dezember 2018 E. 5.4 und 6B_1001/2016 vom 3. April 2017 E. 1.4.2). Der Beschuldigte macht geltend, bei ihm liege aufgrund der Tatsache, dass er zwei kleine Kinder habe, welche er auch betreue, eine leichte Strafempfindlichkeit vor, die zu seinen Gunsten zu berücksichtigen sei. Bei den vom Beschuldigten angeführten Gründen handelt es sich nicht um aussergewöhnliche Umstände, da familiäre Gründe grundsätzlich nicht zu einer erhöhten Strafempfindlichkeit führen (Urteile des Bundesgerichts 6B_738/2014 vom 25. Februar 2015 E. 3.5; 6B_1036/2018 vom 28. November 2018 E. 3.6; 6B_312/2016 vom 23. Juni 2016 E. 1.5.3), zumal dem Beschuldigten der bedingte Strafvollzug gewährt werden wird.</w:t>
      </w:r>
    </w:p>
    <w:p>
      <w:r>
        <w:rPr>
          <w:b/>
        </w:rPr>
        <w:t>E. 5.5</w:t>
      </w:r>
    </w:p>
    <w:p>
      <w:r>
        <w:t>Aufgrund der Täterkomponente ist insgesamt eine minime Strafreduktion angezeigt. 6. Ergebnis der Strafzumessung In Berücksichtigung sämtlicher relevanter Strafzumessungsgründe erweist sich die von der Vorinstanz vorgenommene Bestrafung mit 20 Monaten Freiheitsstrafe als angemessen, welche Strafhöhe auch von der Verteidigung nicht moniert</w:t>
      </w:r>
    </w:p>
    <w:p>
      <w:r>
        <w:t>- 29 - wurde (Urk. 77 S. 5). Die vom Beschuldigten erstandenen 108 Tage Untersuchungshaft sind anzurechnen (Art. 51 StGB). V. Vollzug Die Vorinstanz gewährte dem Beschuldigten den bedingten Strafvollzug, was schon aufgrund des Verschlechterungsverbotes zu bestätigen ist. Die Probezeit wurde auf das gesetzliche Minimum von zwei Jahren beschränkt, was ebenfalls zu bestätigen ist. Es kann vollumfänglich auf das vorinstanzliche Urteil verwiesen werden (Art. 82 Abs. 4 StPO; Urk. 60 S. 19). VI. Landesverweisung 1. Art. 66a Abs. 1 lit. o StGB sieht für Ausländer, die wegen Widerhandlung gegen Art. 19 Abs. 2 BetmG verurteilt wurden, unabhängig von der Höhe der Strafe, die obligatorische Landesverweisung für 5 - 15 Jahre aus der Schweiz vor.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obligatorische Landesverweisung wegen einer Katalogtat im Sinne von Art. 66a Abs. 1 StGB greift grundsätzlich unabhängig von der konkreten Tatschwere (Urteil des Bundesgerichts 6B_1070/2018 vom 14. August 2019 E. 6.2.1) 2.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Das Gericht hat die öffentlichen und privaten Interessen gegeneinander abzuwägen.</w:t>
      </w:r>
    </w:p>
    <w:p>
      <w:r>
        <w:t>- 30 - Dies kann kriteriengeleitet nach der Bestimmung über den "schwerwiegenden persönlichen Härtefall" in Art. 31 Abs. 1 der Verordnung vom 24. Oktober 2007 über Zulassung, Aufenthalt und Erwerbstätigkeit (VZAE) erfolgen, wobei dieser Artikel nicht abschliessend ist. Da die Landesverweisung strafrechtlicher Natur ist, sind auch strafrechtliche Elemente wie die Aussichten auf soziale Wiedereingliederung des Täters in die Interessenabwägung miteinzubeziehen. Zu berücksichtigen sind namentlich der Grad der persönlichen und wirtschaftlichen Integration, einschliesslich familiäre Bindungen des Ausländers in der Schweiz bzw. in der Heimat, Aufenthaltsdauer und Resozialisierungschancen. Ebenso ist der Rückfallgefahr und wiederholter Delinquenz Rechnung zu tragen. Dabei dürfen auch vor Inkrafttreten der Landesverweisung begangene Straftaten berücksichtigt werden. Obwohl Art. 66a Abs. 2 StGB als "Kann-Vorschrift" formuliert wurde, bedeutet das nicht, dass das Gericht frei entscheiden kann, ob es die Bestimmung zur Anwendung bringt oder nicht. Das Gericht muss von seinem Ermessen im Rahmen der verfassungsrechtlichen Grundsätze Gebrauch machen. Sind die Voraussetzungen von Art. 66a Abs. 2 StGB erfüllt, muss es daher nach dem Grundsatz der Verhältnismässigkeit von einer Landesverweisung absehen (Urteil des Bundesgerichts 6B_1070/2018 vom 14. August 2019 E. 6.2.2 mit weiteren Hinweisen).</w:t>
      </w:r>
    </w:p>
    <w:p>
      <w:r>
        <w:rPr>
          <w:b/>
        </w:rPr>
        <w:t>E. 8</w:t>
      </w:r>
    </w:p>
    <w:p>
      <w:r>
        <w:t>Die Kosten des Berufungsverfahrens, mit Ausnahme der Kosten der amtlichen Verteidigung, werden dem Beschuldigten auferlegt. Die Kosten der amtlichen Verteidigung werden einstweilen auf die Gerichtskasse genommen. Die Rückzahlungspflicht des Beschuldigten bleibt gemäss Art. 135 Abs. 4 StPO vorbehalten.</w:t>
      </w:r>
    </w:p>
    <w:p>
      <w:r>
        <w:rPr>
          <w:b/>
        </w:rPr>
        <w:t>E. 9</w:t>
      </w:r>
    </w:p>
    <w:p>
      <w:r>
        <w:t>Schriftliche Mitteilung im Dispositiv an − die amtliche Verteidigung im Doppel für sich und zuhanden des Beschuldigten (vorab per Fax) − die Staatsanwaltschaft Zürich-Limmat (vorab per Fax) − das Migrationsamt des Kantons Zürich</w:t>
      </w:r>
    </w:p>
    <w:p>
      <w:r>
        <w:t>- 38 - sowie in vollständiger Ausfertigung an − die amtliche Verteidigung im Doppel für sich und zuhanden des Beschuldigten − die Staatsanwaltschaft Zürich-Limmat − das Bundesamt für Polizei und nach unbenütztem Ablauf der Rechtsmittelfrist bzw. Erledigung allfälliger Rechtsmittel an − die Vorinstanz − das Migrationsamt des Kantons Zürich − die KOST Zürich mit dem Formular "Löschung des DNA-Profils und Vernichtung des ED-Materials" zwecks Bestimmung der Vernichtungs- und Löschungsdaten − die Kasse des Bezirksgerichts Zürich − die Koordinationsstelle VOSTRA mit Formular A.</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w:t>
      </w:r>
    </w:p>
    <w:p>
      <w:r>
        <w:t>- 39 - Obergericht des Kantons Zürich I. Strafkammer Zürich, 11. November 2019 Der Präsident: Der Gerichtsschreiber: lic. iur. Ch. Prinz lic. iur. R. Bretscher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