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SB180501 vom 11. Dezember 2018</w:t>
      </w:r>
    </w:p>
    <w:p>
      <w:r>
        <w:t>ZH Obergericht, 2018-12-11, DE</w:t>
      </w:r>
    </w:p>
    <w:p>
      <w:r>
        <w:rPr>
          <w:b/>
        </w:rPr>
        <w:t xml:space="preserve">Quelle: </w:t>
      </w:r>
      <w:r>
        <w:t>https://mcp.opencaselaw.ch/entscheid/zh_obergericht_SB180501</w:t>
      </w:r>
    </w:p>
    <w:p>
      <w:r>
        <w:t>FR: ZH_OBERGERICHT SB180501 du 11 décembre 2018</w:t>
      </w:r>
    </w:p>
    <w:p>
      <w:r>
        <w:t>IT: ZH_OBERGERICHT SB180501 del 11 dicembre 2018</w:t>
      </w:r>
    </w:p>
    <w:p>
      <w:pPr>
        <w:pStyle w:val="Heading2"/>
      </w:pPr>
      <w:r>
        <w:t>Volltext</w:t>
      </w:r>
    </w:p>
    <w:p>
      <w:r>
        <w:t>Obergericht des Kantons Zürich II. Strafkammer Geschäfts-Nr.: SB180501-O/U/gs Mitwirkend: die Oberrichter Dr. Bussmann, Präsident, lic. iur. Ruggli und lic. iur. Stiefel sowie der Gerichtsschreiber lic. iur. Samokec Beschluss vom 11. Dezember 2018 in Sachen A._____, Privatklägerin und Erstberufungsklägerin vertreten durch Rechtsanwältin Dr. iur. X._____ sowie Staatsanwaltschaft See/Oberland, vertreten durch Leitenden Staatsanwalt lic. iur. Kehrli, Anklägerin und Zweitberufungsklägerin gegen B._____, Beschuldigter und Berufungsbeklagter verteidigt durch Rechtsanwalt lic. iur. Y._____</w:t>
      </w:r>
    </w:p>
    <w:p>
      <w:r>
        <w:t>- 2 - betreffend Betrug Berufung gegen ein Urteil des Bezirksgerichtes Pfäffikon, Einzelgericht Strafsachen, vom 5. Oktober 2018 (GG180007)</w:t>
      </w:r>
    </w:p>
    <w:p>
      <w:r>
        <w:t>- 3 - Erwägungen: Mit Eingaben vom 12. Oktober 2018 meldeten sowohl die Privatklägerin als auch die Staatsanwaltschaft See/Oberland gegen das Urteil des Bezirksgerichtes Pfäffikon, Einzelgericht Strafsachen, vom 5. Oktober 2018 rechtzeitig Berufung an (Urk. 75 und 78). Mit Eingabe vom 19. November 2018 (Datum Poststempel) zog die Staats- anwaltschaft See/Oberland die von ihr gegen das vorinstanzliche Urteil angemel- dete Berufung noch innerhalb der gesetzlichen Frist zur Einreichung einer schrift- lichen Berufungserklärung zurück (Urk. 88). Ebenso verfuhr die Privatklägerin, welche mit Eingabe vom 6. Dezember 2018 (Datum Poststempel) den Rückzug ihrer Berufung erklärte (Urk. 90). Das Verfahren ist damit unter ausgangsgemäs- ser Regelung der Kosten- und Entschädigungsfolgen als durch Rückzug erledigt abzuschreiben. Die Kosten des Rechtsmittelverfahrens tragen die Parteien nach Massgabe ihres Obsiegens oder Unterliegens. Als unterliegend gilt auch die Partei, auf de- ren Rechtsmittel nicht eingetreten wird oder die das Rechtsmittel zurückzieht (Art. 428 Abs. 1 StPO). Unterliegt die Untersuchungsbehörde, wie in diesem Fall, trägt der verfahrensführende Kanton die Kosten (SCHMID/JOSITSCH, Praxiskom- mentar StPO, 3. Auflage 2018, N 3 zu Art. 428 StPO), weshalb die Gerichtskosten des Berufungsverfahrens ausser Ansatz fallen. Mangels erkennbarer Umtriebe sind keine Entschädigungen zuzusprechen. Es wird beschlossen: 1. Das Verfahren wird als durch Rückzug der Berufungen erledigt abgeschrie- ben. Demzufolge ist das Urteil des Bezirksgerichtes Pfäffikon, Einzelgericht Straf- sachen, vom 5. Oktober 2018 rechtskräftig.</w:t>
      </w:r>
    </w:p>
    <w:p>
      <w:r>
        <w:t>- 4 - 2. Die zweitinstanzliche Gerichtsgebühr fällt ausser Ansatz. 3. Es werden keine Entschädigungen zugesprochen. 4. Schriftliche Mitteilung an − die Staatsanwaltschaft See/Oberland; − die Rechtsvertreterin der Privatklägerin im Doppel für sich und zuhan- den der Privatklägerin; − die Verteidigung im Doppel für sich und zuhanden des Beschuldigten; sowie nach unbenütztem Ablauf der Rechtsmittelfrist resp. Erledigung allfäl- liger Rechtsmittel an − die Vorinstanz (unter Rücksendung der Akten). 5.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11. Dezember 2018 Der Präsident: Der Gerichtsschreiber: Oberrichter Dr. Bussmann lic. iur. Samokec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