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SB180443 vom 2. April 2019</w:t>
      </w:r>
    </w:p>
    <w:p>
      <w:r>
        <w:t>ZH Obergericht, 2019-04-02, DE</w:t>
      </w:r>
    </w:p>
    <w:p>
      <w:r>
        <w:rPr>
          <w:b/>
        </w:rPr>
        <w:t xml:space="preserve">Quelle: </w:t>
      </w:r>
      <w:r>
        <w:t>https://mcp.opencaselaw.ch/entscheid/zh_obergericht_SB180443</w:t>
      </w:r>
    </w:p>
    <w:p>
      <w:r>
        <w:t>FR: ZH_OBERGERICHT SB180443 du 2 avril 2019</w:t>
      </w:r>
    </w:p>
    <w:p>
      <w:r>
        <w:t>IT: ZH_OBERGERICHT SB180443 del 2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des Bezirksgerichts Zürich, 10. Abteilung - Einzelgericht, vom 11. Juli 2018 wurde die Beschuldigte des versuchten Betrugs sowie der Urkundenfäl- schung schuldig gesprochen und mit einer Geldstrafe von 240 Tagessätzen zu je Fr. 50.– (entspricht Fr. 12'000.– ) verurteilt (Urk. 78). Dagegen liess die Beschul- digte noch vor Schranken mündlich Berufung anmelden (Prot. I S. 15) und bestä- tigte dies in der Folge auch schriftlich innert Frist (Urk. 70).</w:t>
      </w:r>
    </w:p>
    <w:p>
      <w:r>
        <w:rPr>
          <w:b/>
        </w:rPr>
        <w:t>E. 2</w:t>
      </w:r>
    </w:p>
    <w:p>
      <w:r>
        <w:t>Das begründete Urteil wurde dem Verteidiger am 28. September 2018 zuge- stellt (Urk. 77/1-2). Mit Eingabe vom 3. Oktober 2018 erfolgte fristgerecht die Be- rufungserklärung. Dabei liess die Beschuldigte beantragen, das Urteil sei vollum- fänglich aufzuheben, ausgenommen Dispositivziffer 8, und sie sei freizusprechen</w:t>
      </w:r>
    </w:p>
    <w:p>
      <w:r>
        <w:t>- 5 - (Urk. 79 S. 2). Die Staatsanwaltschaft verzichtete auf Anschlussberufung und be- antragte die Bestätigung des vorinstanzlichen Urteils (Urk. 84). Der Privatkläger liess sich innert Frist nicht vernehmen. In der Berufungsverhandlung stellte er die eingangs erwähnten Anträge (Urk. 90).</w:t>
      </w:r>
    </w:p>
    <w:p>
      <w:r>
        <w:rPr>
          <w:b/>
        </w:rPr>
        <w:t>E. 3</w:t>
      </w:r>
    </w:p>
    <w:p>
      <w:r>
        <w:t>Vorab ist festzuhalten, dass das vorinstanzliche Urteil hinsichtlich Dispositivzif- fer 8 (Entschädigung Verteidigung) in Rechtskraft erwachsen ist. Im Übrigen gilt es als angefochten.</w:t>
      </w:r>
    </w:p>
    <w:p>
      <w:r>
        <w:rPr>
          <w:b/>
        </w:rPr>
        <w:t>E. 4</w:t>
      </w:r>
    </w:p>
    <w:p>
      <w:r>
        <w:t>Den Ausführungen der Vorinstanz folgend ist der Beschuldigten, die keine Vor- strafen aufweist, der bedingte Strafvollzug zu gewähren. Die Probezeit ist auf die Mindestdauer von 2 Jahren anzusetzen (vgl. Urk. 78 S. 24).</w:t>
      </w:r>
    </w:p>
    <w:p>
      <w:r>
        <w:t>- 11 - VI. Zivilansprüche Die Vorinstanz hat zutreffend dargelegt, dass der Privatkläger den bisher angefal- lenen Honoraraufwand seines Rechtsvertreters im derzeit sistierten Zivilprozess nun im Strafverfahren als Schadenersatz geltend macht. Hinsichtlich dieses Zi- vilanspruchs fehlt es jedoch an einer Begründung (v.a. die Kausalität betreffend) und an der Quantifizierung wie dies im Strafprozess hätte dargelegt werden müs- sen (vgl. dazu auch BGE 139 III 190, E. 4). Die adhäsionsweise Beurteilung die- ser Forderung kann deshalb im vorliegenden Verfahren nicht erfolgen. Die Scha- denersatzforderung des Privatklägers ist somit auf den Zivilweg zu verweisen. VII. Kosten- und Entschädigungsfolgen 1. Fällt die Rechtsmittelinstanz, wie vorliegend, einen neuen Entscheid, so befin- det sie darin auch über die von der Vorinstanz getroffenen Kostenregelung (Art. 428 Abs. 3 StPO). Für das erstinstanzliche Verfahren gilt gemäss Art. 426 Abs. 1 StPO, dass die beschuldigte Person die Kosten trägt, wenn sie verurteilt wird. Ausgenommen sind die Kosten der amtlichen Verteidigung; vorbehalten bleibt die Rückzahlungspflicht nach Art. 135 Abs. 4 StPO bei verbesserten wirt- schaftlichen Verhältnissen. Die Beschuldigte ist heute zwar des versuchten Betrugs, nicht aber der Urkunden- fälschung schuldig zu sprechen. Folglich rechtfertigt es sich, ihr die Kosten des erstinstanzlichen Verfahrens zu ¾ aufzuerlegen und im Übrigen samt denjenigen der amtlichen Verteidigung auf die Gerichtskasse zu nehmen; die Rückzahlungs- pflicht ist betreffend der Kosten der amtlichen Verteidigung im Verhältnis der Kos- tenauflege vorzubehalten. Die Kosten für die unentgeltliche Verbeiständung der Privatklägerschaft trägt die beschuldigte Person nur, wenn sie sich in günstigen wirtschaftlichen Verhältnis- sen befindet (Art. 426 Abs. 4 StPO). Die Beschuldigte lebt derzeit in eher knappen finanziellen Verhältnissen. Die Kosten der unentgeltlichen Verbeiständung des</w:t>
      </w:r>
    </w:p>
    <w:p>
      <w:r>
        <w:t>- 12 - Privatklägers sind deshalb auf die Staatskasse zu nehmen; auch hier ist die Rückzahlungspflicht im Verhältnis der Kostenauflage vorzubehalten. 2. Die Kosten im Rechtsmittelverfahren tragen die Parteien nach Massgabe ihres Obsiegens oder Unterliegens (Art. 428 Abs. 1 StPO). Die Beschuldigte unterliegt zur Hauptsache, erwirkt aber einen Teilfreispruch hinsichtlich der Urkundenfäl- schung, was als Nebenpunkt anzusehen ist. Die Kosten im Rechtsmittelverfahren sind der Beschuldigten deshalb zu ¾ aufzu- erlegen und im Übrigen samt den Kosten der amtlichen Verteidigung sowie der unentgeltlichen Verbeiständung der Privatklägerschaft auf die Gerichtkasse zu nehmen. Die Rückzahlungspflicht ist im Umfang von ¾ betreffend der Kosten der amtlichen Verteidigung und unentgeltlichen Privatklägervertretung vorzubehalten.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