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SB180432 vom 3. Oktober 2019</w:t>
      </w:r>
    </w:p>
    <w:p>
      <w:r>
        <w:t>ZH Obergericht, 2019-10-03, DE</w:t>
      </w:r>
    </w:p>
    <w:p>
      <w:r>
        <w:rPr>
          <w:b/>
        </w:rPr>
        <w:t xml:space="preserve">Quelle: </w:t>
      </w:r>
      <w:r>
        <w:t>https://mcp.opencaselaw.ch/entscheid/zh_obergericht_SB180432</w:t>
      </w:r>
    </w:p>
    <w:p>
      <w:r>
        <w:t>FR: ZH_OBERGERICHT SB180432 du 3 octobre 2019</w:t>
      </w:r>
    </w:p>
    <w:p>
      <w:r>
        <w:t>IT: ZH_OBERGERICHT SB180432 del 3 ottobre 2019</w:t>
      </w:r>
    </w:p>
    <w:p>
      <w:pPr>
        <w:pStyle w:val="Heading2"/>
      </w:pPr>
      <w:r>
        <w:t>Erwägungen</w:t>
      </w:r>
    </w:p>
    <w:p>
      <w:r>
        <w:rPr>
          <w:b/>
        </w:rPr>
        <w:t>E. 1</w:t>
      </w:r>
    </w:p>
    <w:p>
      <w:r>
        <w:t>Der Prozessverlauf bis zum Urteil der Kammer vom 4. Oktober 2017 ergibt sich aus den aufgehobenen beiden Berufungsurteilen (Urk. 86 S. 6 ff.; Urk. 139 S. 7 ff.) sowie den drei bundesgerichtlichen Entscheiden (Urk. 99 S. 4 f. = Urk. 102 S. 4 f.; Urk. 100 S. 5 = Urk. 103 S. 5 und Urk. 150 S. 3 ff. = Urk. 152 S. 3 ff.). Darauf kann verwiesen werden.</w:t>
      </w:r>
    </w:p>
    <w:p>
      <w:r>
        <w:rPr>
          <w:b/>
        </w:rPr>
        <w:t>E. 2</w:t>
      </w:r>
    </w:p>
    <w:p>
      <w:r>
        <w:t>Mit eingangs im Dispositiv zitiertem Urteil vom 4. Oktober 2017 wurde der Beschuldigte der qualifizierten ungetreuen Geschäftsbesorgung schuldig ge- sprochen und mit einer bedingten Freiheitsstrafe von 16 Monaten bestraft. Das Schadenersatzbegehren des Privatklägers betreffend den Schaden aufgrund des Verhaltens des Beschuldigten wurde auf den Zivilweg verwiesen. Ferner wurden die Kosten- und Entschädigungsfolgen geregelt (Urk. 139 S. 31 ff.).</w:t>
      </w:r>
    </w:p>
    <w:p>
      <w:r>
        <w:rPr>
          <w:b/>
        </w:rPr>
        <w:t>E. 3</w:t>
      </w:r>
    </w:p>
    <w:p>
      <w:r>
        <w:t>Gegen dieses Urteil erhob der Privatkläger Beschwerde in Strafsachen beim Bundesgericht (Urk. 143 und Urk. 144/2; Verfahren 6B_1401/2017). Mit Urteil des Bundesgerichtes vom 19. September 2018 im (vom Bundesgericht mit dem Ver- fahren betreffend den Mitbeschuldigten C._____ vereinigten) Verfahren 6B_1401/2017, 6B_1402/2017 wurde die Beschwerde des Privatklägers gutge- heissen, das Urteil der hiesigen Kammer vom 4. Oktober 2017 aufgehoben und die Sache zu neuer Entscheidung zurückgewiesen (Urk. 150 S. 12 = Urk. 152 S. 12).</w:t>
      </w:r>
    </w:p>
    <w:p>
      <w:r>
        <w:rPr>
          <w:b/>
        </w:rPr>
        <w:t>E. 4</w:t>
      </w:r>
    </w:p>
    <w:p>
      <w:r>
        <w:t>Mit Beschluss vom 7. November 2018 wurde die schriftliche Durchführung des vorliegenden Berufungsverfahrens angeordnet und dem Privatkläger Frist angesetzt, die Berufungsanträge zu stellen und zu begründen (Urk. 154). Fristge- recht liess dieser die Berufungsbegründung vom 20. November 2018 einreichen (Urk. 156). Mit Präsidialverfügung vom 26. November 2018 wurde die Berufungs- begründung den übrigen Parteien zugestellt sowie Frist zur Einreichung der Beru- fungsantwort angesetzt (Urk. 158). Innert zwei Mal erstreckter (Urk. 160; Urk. 162) Frist liess der Beschuldigte mitteilen, auf die Einreichung einer Beru-</w:t>
      </w:r>
    </w:p>
    <w:p>
      <w:r>
        <w:t>- 11 - fungsantwort zu verzichten. Die Staatsanwaltschaft liess sich innert Frist nicht vernehmen.</w:t>
      </w:r>
    </w:p>
    <w:p>
      <w:r>
        <w:rPr>
          <w:b/>
        </w:rPr>
        <w:t>E. 5</w:t>
      </w:r>
    </w:p>
    <w:p>
      <w:r>
        <w:t>Der Beschuldigte wurde – wie bereits ausgeführt – nunmehr rechtskräftig der qualifizierten ungetreuen Geschäftsbesorgung schuldig gesprochen. Die Wi- derrechtlichkeit seines Verhaltens ist damit ohne Weiteres gegeben.</w:t>
      </w:r>
    </w:p>
    <w:p>
      <w:r>
        <w:rPr>
          <w:b/>
        </w:rPr>
        <w:t>E. 6</w:t>
      </w:r>
    </w:p>
    <w:p>
      <w:r>
        <w:t>Der erforderliche Kausalzusammenhang zwischen dem schädigenden Ver- halten und dem Schaden liegt ebenfalls vor.</w:t>
      </w:r>
    </w:p>
    <w:p>
      <w:r>
        <w:rPr>
          <w:b/>
        </w:rPr>
        <w:t>E. 7</w:t>
      </w:r>
    </w:p>
    <w:p>
      <w:r>
        <w:t>Der Beschuldigte hat direktvorsätzlich (Urk. 139 S. 20) und damit schuldhaft im Sinne von Art. 41 OR gehandelt.</w:t>
      </w:r>
    </w:p>
    <w:p>
      <w:r>
        <w:rPr>
          <w:b/>
        </w:rPr>
        <w:t>E. 8</w:t>
      </w:r>
    </w:p>
    <w:p>
      <w:r>
        <w:t>Mit der Argumentation der Vorinstanz ist die Aufteilung im internen Verhält- nis zwischen dem Beschuldigten und dem Mitbeschuldigten (und Gehilfen) C._____ betreffend den von ihnen zu bezahlenden Schadenersatz zu überneh- men und es kann auf die diesbezüglichen vorinstanzlichen Erwägungen verwie- sen werden (Urk. 53 S. 50). Ein Grund in das von Art. 50 Abs. 2 OR vorgesehene vorinstanzliche Ermessen einzugreifen ist nicht ersichtlich. Damit hat der Be- schuldigte im internen Verhältnis den Schadenersatz des Privatklägers zu zwei Dritteln, der Mitbeschuldigte C._____ zu einem Drittel zu übernehmen.</w:t>
      </w:r>
    </w:p>
    <w:p>
      <w:r>
        <w:rPr>
          <w:b/>
        </w:rPr>
        <w:t>E. 9</w:t>
      </w:r>
    </w:p>
    <w:p>
      <w:r>
        <w:t>(…)</w:t>
      </w:r>
    </w:p>
    <w:p>
      <w:r>
        <w:rPr>
          <w:b/>
        </w:rPr>
        <w:t>E. 10</w:t>
      </w:r>
    </w:p>
    <w:p>
      <w:r>
        <w:t>Die amtliche Verteidigung wird mit Fr. 26'000.–, inkl. MwSt., entschädigt.</w:t>
      </w:r>
    </w:p>
    <w:p>
      <w:r>
        <w:rPr>
          <w:b/>
        </w:rPr>
        <w:t>E. 11</w:t>
      </w:r>
    </w:p>
    <w:p>
      <w:r>
        <w:t>Die Kosten des zweiten Berufungsverfahrens, einschliesslich der Kosten der amtlichen Verteidigung, werden auf die Gerichtskasse genommen.</w:t>
      </w:r>
    </w:p>
    <w:p>
      <w:r>
        <w:rPr>
          <w:b/>
        </w:rPr>
        <w:t>E. 12</w:t>
      </w:r>
    </w:p>
    <w:p>
      <w:r>
        <w:t>Dem Privatkläger wird für anwaltliche Vertretung im zweiten Berufungsverfahren eine Prozessentschädigung von Fr. 3'630.65 aus der Gerichtskasse zugesprochen.</w:t>
      </w:r>
    </w:p>
    <w:p>
      <w:r>
        <w:t>- 19 - 3. Schriftliche Mitteilung in vollständiger Ausfertigung mit nachfolgendem Urteil. Es wird erkannt: 1. Der Beschuldigte A._____ wird unter solidarischer Haftung mit dem Mitbe- schuldigten C._____ (Prozess-Nr. SB180433) verpflichtet, dem Privatkläger Schadenersatz von USD 141'717.76 zuzüglich 5% Zins seit 20. Dezember 2006 zu bezahlen. Davon entfallen zwei Drittel auf den Beschuldigten und ein Drittel auf den Mitbeschuldigten C._____. Im Mehrbetrag wird das Schadenersatzbegehren abgewiesen. 2. Die zweitinstanzliche Gerichtsgebühr fällt ausser Ansatz. Die weiteren Kos- ten betragen: Fr. 1'239.10 amtliche Verteidigung (RA X._____). 3. Die Kosten des dritten Berufungsverfahrens, einschliesslich der Kosten der amtlichen Verteidigung, werden auf die Gerichtskasse genommen. 4. Dem Privatkläger wird eine Prozessentschädigung von Fr. 3'793.25 für an- waltliche Vertretung aus der Gerichtskasse zugesprochen. 5. Schriftliche Mitteilung in vollständiger Ausfertigung an − die amtliche Verteidigung im Doppel für sich und zuhanden des Beschuldigten − die Staatsanwaltschaft III des Kantons Zürich − Rechtsanwalt lic. iur. Y._____ im Doppel für sich und zuhanden des Privatklägers B._____ und nach unbenütztem Ablauf der Rechtsmittelfrist bzw. Erledigung allfälliger Rechtsmittel an − die Vorinstanz − die Koordinationsstelle G._____ mit Formular A. 6. Gegen diesen Entscheid kann bundesrechtliche Beschwerde in Straf- sachen erhoben werden.</w:t>
      </w:r>
    </w:p>
    <w:p>
      <w:r>
        <w:t>- 20 -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Oktober 2019 Der Präsident: Die Gerichtsschreiberin: lic. iur. S. Volken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